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838C" w14:textId="77777777" w:rsidR="004353FA" w:rsidRPr="004353FA" w:rsidRDefault="004353FA" w:rsidP="004353FA">
      <w:r w:rsidRPr="004353FA">
        <w:br/>
        <w:t>Une culture du résultat plutôt que du process</w:t>
      </w:r>
    </w:p>
    <w:p w14:paraId="2CB0403E" w14:textId="77777777" w:rsidR="004353FA" w:rsidRPr="004353FA" w:rsidRDefault="004353FA" w:rsidP="004353FA">
      <w:r w:rsidRPr="004353FA">
        <w:t>1. Pour quel résultat ?</w:t>
      </w:r>
    </w:p>
    <w:p w14:paraId="009D4EB6" w14:textId="77777777" w:rsidR="004353FA" w:rsidRPr="004353FA" w:rsidRDefault="004353FA" w:rsidP="004353FA">
      <w:r w:rsidRPr="004353FA">
        <w:t>Il convient ici de définir le "résultat" au sens agile du terme. Le résultat est une solution qui fonctionne et qui apporte de la valeur au client. Mais cette idée du résultat ne va pas forcément de soi.</w:t>
      </w:r>
    </w:p>
    <w:p w14:paraId="2DE15AD5" w14:textId="77777777" w:rsidR="004353FA" w:rsidRPr="004353FA" w:rsidRDefault="004353FA" w:rsidP="004353FA">
      <w:r w:rsidRPr="004353FA">
        <w:t>Une autre définition du résultat pourrait être "Livrer un projet dans les délais et le budget prévu".</w:t>
      </w:r>
    </w:p>
    <w:p w14:paraId="3966787E" w14:textId="77777777" w:rsidR="004353FA" w:rsidRPr="004353FA" w:rsidRDefault="004353FA" w:rsidP="004353FA">
      <w:r w:rsidRPr="004353FA">
        <w:t>Une autre encore pourrait être "Livrer l’ensemble des livrables prévus au plan d’assurance qualité".</w:t>
      </w:r>
    </w:p>
    <w:p w14:paraId="2B295A52" w14:textId="77777777" w:rsidR="004353FA" w:rsidRPr="004353FA" w:rsidRDefault="004353FA" w:rsidP="004353FA">
      <w:r w:rsidRPr="004353FA">
        <w:t>Ou enfin une autre pourrait être "Mettre en production une application qui ne produit pas d’erreur".</w:t>
      </w:r>
    </w:p>
    <w:p w14:paraId="6C7AC42B" w14:textId="77777777" w:rsidR="004353FA" w:rsidRPr="004353FA" w:rsidRDefault="004353FA" w:rsidP="004353FA">
      <w:r w:rsidRPr="004353FA">
        <w:t>La notion de résultat est donc essentiellement liée au regard qui le conçoit. Le service opérations verra que l’application ne tombe pas en panne. Le service études verra que les fonctionnalités du cahier des charges ont toutes été livrées et que toute la documentation a été produite. Le responsable métier verra un budget respecté et une livraison dans les temps. Le client, lui, verra le résultat.</w:t>
      </w:r>
    </w:p>
    <w:p w14:paraId="3CC4914B" w14:textId="77777777" w:rsidR="004353FA" w:rsidRPr="004353FA" w:rsidRDefault="004353FA" w:rsidP="004353FA">
      <w:r w:rsidRPr="004353FA">
        <w:t>Le seul résultat qui compte est dans les mains du client. C’est lui qui va déterminer si le résultat est un succès ou un échec.</w:t>
      </w:r>
    </w:p>
    <w:p w14:paraId="5C06C4D5" w14:textId="77777777" w:rsidR="004353FA" w:rsidRPr="004353FA" w:rsidRDefault="004353FA" w:rsidP="004353FA">
      <w:r w:rsidRPr="004353FA">
        <w:t>C’est en ce sens qu’il faut comprendre et interpréter les valeurs agiles :</w:t>
      </w:r>
    </w:p>
    <w:p w14:paraId="0ABA1060" w14:textId="77777777" w:rsidR="004353FA" w:rsidRPr="004353FA" w:rsidRDefault="004353FA" w:rsidP="004353FA">
      <w:r w:rsidRPr="004353FA">
        <w:rPr>
          <w:b/>
          <w:bCs/>
        </w:rPr>
        <w:t>"Valoriser des solutions opérationnelles, de préférence à une documentation exhaustive"</w:t>
      </w:r>
    </w:p>
    <w:p w14:paraId="1F12E30E" w14:textId="77777777" w:rsidR="004353FA" w:rsidRPr="004353FA" w:rsidRDefault="004353FA" w:rsidP="004353FA">
      <w:r w:rsidRPr="004353FA">
        <w:rPr>
          <w:b/>
          <w:bCs/>
        </w:rPr>
        <w:t>"Valoriser les individus et leurs interactions, de préférence aux processus et aux outils"</w:t>
      </w:r>
    </w:p>
    <w:p w14:paraId="329D620F" w14:textId="77777777" w:rsidR="004353FA" w:rsidRPr="004353FA" w:rsidRDefault="004353FA" w:rsidP="004353FA">
      <w:r w:rsidRPr="004353FA">
        <w:t>L’agilité et le DevOps mettent en avant les efforts pour produire un résultat qui apporte de la valeur au client plutôt que de satisfaire à des exigences de fonctionnement internes.</w:t>
      </w:r>
    </w:p>
    <w:p w14:paraId="5AC7A859" w14:textId="77777777" w:rsidR="004353FA" w:rsidRPr="004353FA" w:rsidRDefault="004353FA" w:rsidP="004353FA">
      <w:r w:rsidRPr="004353FA">
        <w:t>Cela ne signifie pas qu’il ne faut pas faire de documentation, ou qu’il n’est pas utile de trouver les meilleurs moyens d’organiser la production. Cela signifie qu’ils ne constituent pas la finalité, mais juste un moyen, parmi d’autres.</w:t>
      </w:r>
    </w:p>
    <w:p w14:paraId="38924270" w14:textId="77777777" w:rsidR="004353FA" w:rsidRPr="004353FA" w:rsidRDefault="004353FA" w:rsidP="004353FA">
      <w:r w:rsidRPr="004353FA">
        <w:t xml:space="preserve">Le DevOps remet profondément en cause l’idée que satisfaire au processus en place suffit à produire de la valeur. De même, il remet en cause l’intérêt d’une documentation exhaustive comme moyen efficace de produire une application pleinement fonctionnelle. À l’inverse, la communication face à face sera privilégiée pour </w:t>
      </w:r>
      <w:r w:rsidRPr="004353FA">
        <w:lastRenderedPageBreak/>
        <w:t>transmettre les informations entre les équipes, parce que c’est le meilleur moyen de s’assurer que chacun comprend l’objectif, ce qu’il faut faire, et comment le faire.</w:t>
      </w:r>
    </w:p>
    <w:p w14:paraId="5E0B8FF0" w14:textId="77777777" w:rsidR="004353FA" w:rsidRPr="004353FA" w:rsidRDefault="004353FA" w:rsidP="004353FA">
      <w:r w:rsidRPr="004353FA">
        <w:t>Un exemple connu qui encourage à relativiser la notion de succès et d’échec est l’opéra de Sydney : à l’origine, la construction de l’Opéra commanditée en 1957 prévoyait un budget de 7 millions de dollars. Après de multiples controverses sur son utilité et sa complexité, il verra finalement le jour en 1973 pour un coût de 102 millions de dollars. Cela aura coûté la carrière de l’architecte qui n’aura pas vu la fin de son œuvre. Succès ou échec ? Assurément, si l’on se place du point du point de vue du budget et du délai, c’est un échec. Mais cet opéra fait aujourd’hui rayonner l’Australie sur toute la planète. Il accueille chaque année 1500 spectacles et est classé au patrimoine de l’UNESCO. À ce titre, au regard de la valeur qu’il représente, le résultat est un grand succès.</w:t>
      </w:r>
    </w:p>
    <w:p w14:paraId="7C9DCE70" w14:textId="77777777" w:rsidR="004353FA" w:rsidRPr="004353FA" w:rsidRDefault="004353FA" w:rsidP="004353FA">
      <w:r w:rsidRPr="004353FA">
        <w:t>2. Comment gérer la continuité de la connaissance et de la compétence</w:t>
      </w:r>
    </w:p>
    <w:p w14:paraId="4D05A03D" w14:textId="77777777" w:rsidR="004353FA" w:rsidRPr="004353FA" w:rsidRDefault="004353FA" w:rsidP="004353FA">
      <w:r w:rsidRPr="004353FA">
        <w:t>Si l’on privilégie la communication verbale à la communication écrite, se pose alors la question du transfert de la connaissance et de la compétence, élément clé pour assurer la capacité d’une organisation à maintenir le service pour l’ensemble de ses applications. De la même façon, il faut aussi trouver les moyens de pouvoir embarquer de nouvelles ressources dans les projets. La capacité de mettre à l’échelle des équipes afin de réaliser des projets d’envergure est un élément essentiel de leur réussite.</w:t>
      </w:r>
    </w:p>
    <w:p w14:paraId="6BE1203F" w14:textId="77777777" w:rsidR="004353FA" w:rsidRPr="004353FA" w:rsidRDefault="004353FA" w:rsidP="004353FA">
      <w:pPr>
        <w:rPr>
          <w:b/>
          <w:bCs/>
        </w:rPr>
      </w:pPr>
      <w:r w:rsidRPr="004353FA">
        <w:rPr>
          <w:b/>
          <w:bCs/>
        </w:rPr>
        <w:t>a. Adapter le cycle de vie : passer du projet au produit</w:t>
      </w:r>
    </w:p>
    <w:p w14:paraId="369EF3CB" w14:textId="77777777" w:rsidR="004353FA" w:rsidRPr="004353FA" w:rsidRDefault="004353FA" w:rsidP="004353FA">
      <w:r w:rsidRPr="004353FA">
        <w:t xml:space="preserve">Le cas </w:t>
      </w:r>
      <w:proofErr w:type="spellStart"/>
      <w:r w:rsidRPr="004353FA">
        <w:t>Cotradis</w:t>
      </w:r>
      <w:proofErr w:type="spellEnd"/>
      <w:r w:rsidRPr="004353FA">
        <w:t xml:space="preserve"> du chapitre Le mur de la confusion montre que le transfert de compétence d’une équipe vers une autre nécessite une documentation complète pour permettre notamment à l’équipe opérations de prendre le relais. C’est tout à fait vrai lorsque l’organisation est silotée et que les phases de réalisation interviennent en cascade l’une après l’autre.</w:t>
      </w:r>
    </w:p>
    <w:p w14:paraId="0AFB8399" w14:textId="77777777" w:rsidR="004353FA" w:rsidRPr="004353FA" w:rsidRDefault="004353FA" w:rsidP="004353FA">
      <w:r w:rsidRPr="004353FA">
        <w:t>Dans une organisation en silos, la vision habituelle en mode projet consiste à séparer les phases du projet, avec un début et une fin, alors que la phase de maintenance et d’évolution est marquée par un début, sans nécessairement de fin visible. La phase de maintenance ne sera peut-être pas linéaire, ni constante. Dans ce cas, l’organisation privilégiera des équipes mutualisant la maintenance de plusieurs applications au sein d’un même portefeuille. Cela implique de faire intervenir des ressources possiblement différentes et nécessite donc une documentation à jour qui permette de passer d’une application à l’autre. Dans ce contexte, la documentation devra être actualisée entre chaque transfert et chaque phase du projet, y compris durant la maintenance. Cet exercice de mutualisation des ressources pour de multiples projets impose une planification complexe, où chaque difficulté, chaque retard, démultiplie les conséquences sur toutes les applications, et évidemment chaque passage d’une application à une autre impose un coût de remontée en compétence des équipes.</w:t>
      </w:r>
    </w:p>
    <w:p w14:paraId="6DF437AE" w14:textId="49815481" w:rsidR="004353FA" w:rsidRPr="004353FA" w:rsidRDefault="004353FA" w:rsidP="004353FA">
      <w:r w:rsidRPr="004353FA">
        <w:lastRenderedPageBreak/>
        <w:drawing>
          <wp:inline distT="0" distB="0" distL="0" distR="0" wp14:anchorId="0321C471" wp14:editId="0E5236D8">
            <wp:extent cx="5619750" cy="3524250"/>
            <wp:effectExtent l="0" t="0" r="0" b="0"/>
            <wp:docPr id="1951492927" name="Image 3" descr="Une image contenant texte, capture d’écran, ordinateur, clav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92927" name="Image 3" descr="Une image contenant texte, capture d’écran, ordinateur, clavier&#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524250"/>
                    </a:xfrm>
                    <a:prstGeom prst="rect">
                      <a:avLst/>
                    </a:prstGeom>
                    <a:noFill/>
                    <a:ln>
                      <a:noFill/>
                    </a:ln>
                  </pic:spPr>
                </pic:pic>
              </a:graphicData>
            </a:graphic>
          </wp:inline>
        </w:drawing>
      </w:r>
    </w:p>
    <w:p w14:paraId="4D0909C4" w14:textId="77777777" w:rsidR="004353FA" w:rsidRPr="004353FA" w:rsidRDefault="004353FA" w:rsidP="004353FA">
      <w:r w:rsidRPr="004353FA">
        <w:t>À l’inverse, dans une organisation Lean, l’objectif est de réduire le plus possible les phases de transfert. Bien que coûteuses en énergie et en temps, elles n’apportent aucune valeur directe au client final. Au contraire, elles préemptent un temps précieux qui pourrait être utilisé pour apporter plus de valeur. La solution pour éviter les phases de transferts consiste à faire travailler les équipes ensemble dès le début du projet en éliminant le découpage par phases. Elles produisent un flux constant de fonctionnalités ou de changements, incluant la correction d’anomalies et les tâches techniques. Ce flux peut être cyclique, au travers de sprints ou d’incréments, ou continu en gérant un kanban. Dès lors, les phases de projet et de maintenance sont confondues dans le même flux de travail.</w:t>
      </w:r>
    </w:p>
    <w:p w14:paraId="6EC89245" w14:textId="77777777" w:rsidR="004353FA" w:rsidRPr="004353FA" w:rsidRDefault="004353FA" w:rsidP="004353FA">
      <w:r w:rsidRPr="004353FA">
        <w:t>La gestion dans le temps des changements et de la valeur attendue, ce que nous pouvons appeler le cycle de vie, est désormais centrée sur le produit plutôt que sur les phases de projets. Les jalons et les délais de phases projets sont remplacés par une roadmap qui donne de la visibilité sur les nouvelles capacités attendues pour le produit et qui séquence le flux de réalisation dans le temps. Elle doit offrir la flexibilité nécessaire pour pivoter et changer les orientations fonctionnelles et/ou techniques.</w:t>
      </w:r>
    </w:p>
    <w:p w14:paraId="1FA05AC1" w14:textId="77777777" w:rsidR="004353FA" w:rsidRPr="004353FA" w:rsidRDefault="004353FA" w:rsidP="004353FA">
      <w:r w:rsidRPr="004353FA">
        <w:t>La documentation suit le flux de travail en étant mise à jour au fur et à mesure de l’avancement de la réalisation plutôt qu’à chaque fin de phase. Comme les équipes travaillent ensemble tout au long du cycle de vie du produit, il n’y a pas besoin de transférer la compétence, ce qui change complètement la façon de réaliser la documentation.</w:t>
      </w:r>
    </w:p>
    <w:p w14:paraId="65C650FD" w14:textId="59308040" w:rsidR="004353FA" w:rsidRPr="004353FA" w:rsidRDefault="004353FA" w:rsidP="004353FA">
      <w:r w:rsidRPr="004353FA">
        <w:lastRenderedPageBreak/>
        <w:drawing>
          <wp:inline distT="0" distB="0" distL="0" distR="0" wp14:anchorId="4179D1F5" wp14:editId="030EC3A8">
            <wp:extent cx="5619750" cy="2133600"/>
            <wp:effectExtent l="0" t="0" r="0" b="0"/>
            <wp:docPr id="733320573" name="Image 2" descr="Une image contenant texte, capture d’écran, carte de visi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20573" name="Image 2" descr="Une image contenant texte, capture d’écran, carte de visite, lign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2133600"/>
                    </a:xfrm>
                    <a:prstGeom prst="rect">
                      <a:avLst/>
                    </a:prstGeom>
                    <a:noFill/>
                    <a:ln>
                      <a:noFill/>
                    </a:ln>
                  </pic:spPr>
                </pic:pic>
              </a:graphicData>
            </a:graphic>
          </wp:inline>
        </w:drawing>
      </w:r>
    </w:p>
    <w:p w14:paraId="041DE091" w14:textId="77777777" w:rsidR="004353FA" w:rsidRPr="004353FA" w:rsidRDefault="004353FA" w:rsidP="004353FA">
      <w:r w:rsidRPr="004353FA">
        <w:t>L’idéal dans cette configuration est de pouvoir allouer la même équipe tout au long du cycle de vie du produit. Néanmoins, celui-ci n’est pas nécessairement constant. Après un certain temps de développement, le produit arrive à maturité, satisfaisant les utilisateurs sur un domaine métier qui évolue moins, ou plus du tout. Dans ce cas, les possibles évolutions, correctifs ou changements techniques, seront traités sporadiquement et il sera nécessaire pour l’équipe de se replonger dans la compréhension du produit. Il faudra alors disposer d’éléments documentaires permettant de reprendre le flux de réalisation de l’application.</w:t>
      </w:r>
    </w:p>
    <w:p w14:paraId="093CC850" w14:textId="77777777" w:rsidR="004353FA" w:rsidRPr="004353FA" w:rsidRDefault="004353FA" w:rsidP="004353FA">
      <w:pPr>
        <w:rPr>
          <w:b/>
          <w:bCs/>
        </w:rPr>
      </w:pPr>
      <w:r w:rsidRPr="004353FA">
        <w:rPr>
          <w:b/>
          <w:bCs/>
        </w:rPr>
        <w:t>b. Utiliser les outils en place pour documenter</w:t>
      </w:r>
    </w:p>
    <w:p w14:paraId="7BDD49ED" w14:textId="77777777" w:rsidR="004353FA" w:rsidRPr="004353FA" w:rsidRDefault="004353FA" w:rsidP="004353FA">
      <w:r w:rsidRPr="004353FA">
        <w:t>La documentation externe à l’application</w:t>
      </w:r>
    </w:p>
    <w:p w14:paraId="7369F105" w14:textId="77777777" w:rsidR="004353FA" w:rsidRPr="004353FA" w:rsidRDefault="004353FA" w:rsidP="004353FA">
      <w:r w:rsidRPr="004353FA">
        <w:t>La documentation externe à l’application constitue toutes les spécifications du produit qui ne sont pas empaquetées avec le produit lui-même. Dans un flux de travail continu, elle est impactée par deux caractéristiques :</w:t>
      </w:r>
    </w:p>
    <w:p w14:paraId="42504A9F" w14:textId="77777777" w:rsidR="004353FA" w:rsidRPr="004353FA" w:rsidRDefault="004353FA" w:rsidP="004353FA">
      <w:pPr>
        <w:numPr>
          <w:ilvl w:val="0"/>
          <w:numId w:val="1"/>
        </w:numPr>
      </w:pPr>
      <w:proofErr w:type="gramStart"/>
      <w:r w:rsidRPr="004353FA">
        <w:t>la</w:t>
      </w:r>
      <w:proofErr w:type="gramEnd"/>
      <w:r w:rsidRPr="004353FA">
        <w:t xml:space="preserve"> mise à jour est constante,</w:t>
      </w:r>
    </w:p>
    <w:p w14:paraId="1D4B8EB4" w14:textId="77777777" w:rsidR="004353FA" w:rsidRPr="004353FA" w:rsidRDefault="004353FA" w:rsidP="004353FA">
      <w:pPr>
        <w:numPr>
          <w:ilvl w:val="0"/>
          <w:numId w:val="1"/>
        </w:numPr>
      </w:pPr>
      <w:proofErr w:type="gramStart"/>
      <w:r w:rsidRPr="004353FA">
        <w:t>les</w:t>
      </w:r>
      <w:proofErr w:type="gramEnd"/>
      <w:r w:rsidRPr="004353FA">
        <w:t xml:space="preserve"> changements sont fréquents.</w:t>
      </w:r>
    </w:p>
    <w:p w14:paraId="76AE5A2B" w14:textId="77777777" w:rsidR="004353FA" w:rsidRPr="004353FA" w:rsidRDefault="004353FA" w:rsidP="004353FA">
      <w:r w:rsidRPr="004353FA">
        <w:t>Dans ces conditions, réaliser une documentation statique avec votre suite bureautique préférée peut rapidement s’avérer cauchemardesque. À chaque nouvelle version de produit, il est nécessaire de lui associer une documentation spécifique. Dans un processus de développement en cascade, au moins deux versions de documentation vivent en même temps : celle pour la version en production, et celle pour la version en développement. Il est possible d’en maintenir au moins une troisième si les opérations travaillent sur une version à déployer alors que l’équipe de développement a déjà entamé une nouvelle version (ce qui est fréquent).</w:t>
      </w:r>
    </w:p>
    <w:p w14:paraId="19C6081A" w14:textId="77777777" w:rsidR="004353FA" w:rsidRPr="004353FA" w:rsidRDefault="004353FA" w:rsidP="004353FA">
      <w:r w:rsidRPr="004353FA">
        <w:t xml:space="preserve">Généralement, la gestion des versions des documents bureautiques est assurée en dupliquant la dernière version du document pour en créer une nouvelle contenant les informations de version dans son titre. En DevOps et avec un flux constant de production, le nombre de versions réalisées et déployées peut rapidement devenir très </w:t>
      </w:r>
      <w:r w:rsidRPr="004353FA">
        <w:lastRenderedPageBreak/>
        <w:t>important et la quantité de documents associés peut croître dramatiquement, jusqu’à devenir ingérable. Dans le meilleur des cas, un outil de gestion documentaire permettra d’assurer l’uniformisation du stockage et du nommage des documents, ainsi qu’une gestion des versions automatisée. </w:t>
      </w:r>
    </w:p>
    <w:p w14:paraId="5D319740" w14:textId="77777777" w:rsidR="004353FA" w:rsidRPr="004353FA" w:rsidRDefault="004353FA" w:rsidP="004353FA">
      <w:r w:rsidRPr="004353FA">
        <w:t>Pour éviter cet enfer des versions documentaires et de leur maintenance, ou tout simplement leur abandon, il est préférable d’utiliser un éditeur de documentation vivante, tel qu’un Wiki. L’avantage d’un Wiki est que la documentation est à jour en permanence, entièrement partagée, facilement accessible et structurée, versionnée par défaut avec des versions comparables les unes aux autres et des retours arrière possibles. Dans un flux de changement continu, il n’est pas nécessaire de maintenir plusieurs versions de documentation en même temps.</w:t>
      </w:r>
    </w:p>
    <w:p w14:paraId="528448DE" w14:textId="77777777" w:rsidR="004353FA" w:rsidRPr="004353FA" w:rsidRDefault="004353FA" w:rsidP="004353FA">
      <w:r w:rsidRPr="004353FA">
        <w:t>Il existe par ailleurs une approche </w:t>
      </w:r>
      <w:r w:rsidRPr="004353FA">
        <w:rPr>
          <w:i/>
          <w:iCs/>
        </w:rPr>
        <w:t>Documentation As Code</w:t>
      </w:r>
      <w:r w:rsidRPr="004353FA">
        <w:t> qui promeut l’utilisation de langages de balisage simples (</w:t>
      </w:r>
      <w:r w:rsidRPr="004353FA">
        <w:rPr>
          <w:i/>
          <w:iCs/>
        </w:rPr>
        <w:t xml:space="preserve">Markup </w:t>
      </w:r>
      <w:proofErr w:type="spellStart"/>
      <w:r w:rsidRPr="004353FA">
        <w:rPr>
          <w:i/>
          <w:iCs/>
        </w:rPr>
        <w:t>languages</w:t>
      </w:r>
      <w:proofErr w:type="spellEnd"/>
      <w:r w:rsidRPr="004353FA">
        <w:t xml:space="preserve"> tel que </w:t>
      </w:r>
      <w:proofErr w:type="spellStart"/>
      <w:r w:rsidRPr="004353FA">
        <w:t>MarkDown</w:t>
      </w:r>
      <w:proofErr w:type="spellEnd"/>
      <w:r w:rsidRPr="004353FA">
        <w:t>) couplée avec un gestionnaire de versions tel que GitHub. Cela permet d’utiliser les outils de comparaison et de fusion des documents, et en même temps, de gérer les versions des documents tout en les associant aux versions de l’application. Plus d’informations peuvent être retrouvées vers ce lien : </w:t>
      </w:r>
      <w:hyperlink r:id="rId7" w:tgtFrame="_blank" w:history="1">
        <w:r w:rsidRPr="004353FA">
          <w:rPr>
            <w:rStyle w:val="Lienhypertexte"/>
          </w:rPr>
          <w:t>https://www.writethedocs.org/guide/docs-as-code/</w:t>
        </w:r>
      </w:hyperlink>
      <w:r w:rsidRPr="004353FA">
        <w:t>. L’objectif de cette approche est de laisser le développeur écrire la documentation avec les outils qu’il utilise familièrement pour coder l’application et surtout dans le même sprint que le développement. Cette approche est évidemment tout à fait valable pour les opérations qui pratiquent l’Infrastructure As Code.</w:t>
      </w:r>
    </w:p>
    <w:p w14:paraId="37EC4597" w14:textId="77777777" w:rsidR="004353FA" w:rsidRPr="004353FA" w:rsidRDefault="004353FA" w:rsidP="004353FA">
      <w:r w:rsidRPr="004353FA">
        <w:t>Enfin, une grande partie de la documentation externe d’une application est générée et intégrée dans un gestionnaire du cycle de vie des applications, ou ALM (</w:t>
      </w:r>
      <w:r w:rsidRPr="004353FA">
        <w:rPr>
          <w:i/>
          <w:iCs/>
        </w:rPr>
        <w:t xml:space="preserve">Application </w:t>
      </w:r>
      <w:proofErr w:type="spellStart"/>
      <w:r w:rsidRPr="004353FA">
        <w:rPr>
          <w:i/>
          <w:iCs/>
        </w:rPr>
        <w:t>Lifecyle</w:t>
      </w:r>
      <w:proofErr w:type="spellEnd"/>
      <w:r w:rsidRPr="004353FA">
        <w:rPr>
          <w:i/>
          <w:iCs/>
        </w:rPr>
        <w:t xml:space="preserve"> Management</w:t>
      </w:r>
      <w:r w:rsidRPr="004353FA">
        <w:t xml:space="preserve">). Ces gestionnaires constituent des sources uniques de documentation contenant à la fois les spécifications du produit, mais aussi l’ensemble des éléments qui servent à sa construction et à sa maintenance : </w:t>
      </w:r>
      <w:proofErr w:type="spellStart"/>
      <w:r w:rsidRPr="004353FA">
        <w:t>backlog</w:t>
      </w:r>
      <w:proofErr w:type="spellEnd"/>
      <w:r w:rsidRPr="004353FA">
        <w:t xml:space="preserve"> </w:t>
      </w:r>
      <w:proofErr w:type="gramStart"/>
      <w:r w:rsidRPr="004353FA">
        <w:t>de user</w:t>
      </w:r>
      <w:proofErr w:type="gramEnd"/>
      <w:r w:rsidRPr="004353FA">
        <w:t xml:space="preserve"> stories, tâches techniques, anomalies.... Ils contiennent également souvent un gestionnaire de code source et de binaires ainsi qu’un outil d’automatisation de l’intégration et du déploiement. Pour exemple de ces outils d’ALM, on peut citer la suite </w:t>
      </w:r>
      <w:proofErr w:type="spellStart"/>
      <w:r w:rsidRPr="004353FA">
        <w:t>Atlassian</w:t>
      </w:r>
      <w:proofErr w:type="spellEnd"/>
      <w:r w:rsidRPr="004353FA">
        <w:t xml:space="preserve"> autour de JIRA et Azure DevOps.</w:t>
      </w:r>
    </w:p>
    <w:p w14:paraId="7E367CA1" w14:textId="77777777" w:rsidR="004353FA" w:rsidRPr="004353FA" w:rsidRDefault="004353FA" w:rsidP="004353FA">
      <w:r w:rsidRPr="004353FA">
        <w:t xml:space="preserve">L’avantage d’un ALM est qu’il s’inscrit intégralement dans le processus de réalisation de l’application autour des pratiques Agile et DevOps. Aucun effort supplémentaire n’est nécessaire car chacun devra contribuer dans l’outil directement pour avancer. Par exemple, une user story positionnée dans le prochain sprint ou le prochain incrément sera documentée par le </w:t>
      </w:r>
      <w:proofErr w:type="spellStart"/>
      <w:r w:rsidRPr="004353FA">
        <w:t>product</w:t>
      </w:r>
      <w:proofErr w:type="spellEnd"/>
      <w:r w:rsidRPr="004353FA">
        <w:t xml:space="preserve"> </w:t>
      </w:r>
      <w:proofErr w:type="spellStart"/>
      <w:r w:rsidRPr="004353FA">
        <w:t>owner</w:t>
      </w:r>
      <w:proofErr w:type="spellEnd"/>
      <w:r w:rsidRPr="004353FA">
        <w:t xml:space="preserve"> dans une page dédiée sur le wiki de l’ALM. Celle-ci sera ensuite liée à </w:t>
      </w:r>
      <w:proofErr w:type="gramStart"/>
      <w:r w:rsidRPr="004353FA">
        <w:t>la user</w:t>
      </w:r>
      <w:proofErr w:type="gramEnd"/>
      <w:r w:rsidRPr="004353FA">
        <w:t xml:space="preserve"> story intégrée dans la </w:t>
      </w:r>
      <w:proofErr w:type="spellStart"/>
      <w:r w:rsidRPr="004353FA">
        <w:t>backlog</w:t>
      </w:r>
      <w:proofErr w:type="spellEnd"/>
      <w:r w:rsidRPr="004353FA">
        <w:t xml:space="preserve"> de sprint et gérée par le Scrum Master. Cette user story sera elle-même ajoutée à l’historique des intégrations de </w:t>
      </w:r>
      <w:proofErr w:type="gramStart"/>
      <w:r w:rsidRPr="004353FA">
        <w:t>la user</w:t>
      </w:r>
      <w:proofErr w:type="gramEnd"/>
      <w:r w:rsidRPr="004353FA">
        <w:t xml:space="preserve"> story dans la prochaine version de l’application, puis au résultat des tests, puis au déploiement effectué en production par l’équipe opérations et aux éventuelles </w:t>
      </w:r>
      <w:r w:rsidRPr="004353FA">
        <w:lastRenderedPageBreak/>
        <w:t>anomalies rencontrées. Un ALM permet d’avoir une vue à 360° sur chaque nouvelle fonctionnalité de l’application, de l’idée au déploiement, de la spécification au comportement en production, quelle que soit la granularité de cette fonctionnalité.</w:t>
      </w:r>
    </w:p>
    <w:p w14:paraId="0B583755" w14:textId="42CC3E43" w:rsidR="004353FA" w:rsidRPr="004353FA" w:rsidRDefault="004353FA" w:rsidP="004353FA">
      <w:r w:rsidRPr="004353FA">
        <w:drawing>
          <wp:inline distT="0" distB="0" distL="0" distR="0" wp14:anchorId="7978729A" wp14:editId="6874A692">
            <wp:extent cx="4857750" cy="4686300"/>
            <wp:effectExtent l="0" t="0" r="0" b="0"/>
            <wp:docPr id="1527482809" name="Image 1" descr="Une image contenant texte, diagramme, cercl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82809" name="Image 1" descr="Une image contenant texte, diagramme, cercle, lign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4686300"/>
                    </a:xfrm>
                    <a:prstGeom prst="rect">
                      <a:avLst/>
                    </a:prstGeom>
                    <a:noFill/>
                    <a:ln>
                      <a:noFill/>
                    </a:ln>
                  </pic:spPr>
                </pic:pic>
              </a:graphicData>
            </a:graphic>
          </wp:inline>
        </w:drawing>
      </w:r>
    </w:p>
    <w:p w14:paraId="524F81AF" w14:textId="77777777" w:rsidR="004353FA" w:rsidRPr="004353FA" w:rsidRDefault="004353FA" w:rsidP="004353FA">
      <w:r w:rsidRPr="004353FA">
        <w:t xml:space="preserve">En utilisant un ALM, il n’y a pas de rupture dans le processus de documentation et cela permet à l’ensemble de l’équipe de rester concentrée sur la réalisation, tout en ayant une visibilité complète sur ce qui est produit. Un autre avantage est que la création de la spécification de l’application est alignée sur le rythme de réalisation. Cela évite de laisser construire une spécification trop importante en amont de développement, qui sera finalement remise en question dans les sprints ou incréments suivants en fonction des décisions prises lors des sprint </w:t>
      </w:r>
      <w:proofErr w:type="spellStart"/>
      <w:r w:rsidRPr="004353FA">
        <w:t>reviews</w:t>
      </w:r>
      <w:proofErr w:type="spellEnd"/>
      <w:r w:rsidRPr="004353FA">
        <w:t xml:space="preserve"> et après examen des feedbacks utilisateurs.</w:t>
      </w:r>
    </w:p>
    <w:p w14:paraId="4F2EED31" w14:textId="77777777" w:rsidR="004353FA" w:rsidRPr="004353FA" w:rsidRDefault="004353FA" w:rsidP="004353FA">
      <w:r w:rsidRPr="004353FA">
        <w:t>La documentation interne à l’application</w:t>
      </w:r>
    </w:p>
    <w:p w14:paraId="564E49BD" w14:textId="77777777" w:rsidR="004353FA" w:rsidRPr="004353FA" w:rsidRDefault="004353FA" w:rsidP="004353FA">
      <w:r w:rsidRPr="004353FA">
        <w:t>La documentation interne comprend tout ce qui sert à expliquer le fonctionnement de l’application et qui est empaqueté avec, ou qui se trouve au sein de ses composants. Parmi les nombreux éléments constitutifs d’objets de documentation dans une application figurent :</w:t>
      </w:r>
    </w:p>
    <w:p w14:paraId="146FC8CE" w14:textId="77777777" w:rsidR="004353FA" w:rsidRPr="004353FA" w:rsidRDefault="004353FA" w:rsidP="004353FA">
      <w:pPr>
        <w:numPr>
          <w:ilvl w:val="0"/>
          <w:numId w:val="2"/>
        </w:numPr>
      </w:pPr>
      <w:proofErr w:type="gramStart"/>
      <w:r w:rsidRPr="004353FA">
        <w:t>les</w:t>
      </w:r>
      <w:proofErr w:type="gramEnd"/>
      <w:r w:rsidRPr="004353FA">
        <w:t xml:space="preserve"> contrats d’interface décrivant les API de l’application. Par exemple, </w:t>
      </w:r>
      <w:proofErr w:type="spellStart"/>
      <w:r w:rsidRPr="004353FA">
        <w:t>Swagger</w:t>
      </w:r>
      <w:proofErr w:type="spellEnd"/>
      <w:r w:rsidRPr="004353FA">
        <w:t xml:space="preserve"> permet de générer la documentation complète des API ;</w:t>
      </w:r>
    </w:p>
    <w:p w14:paraId="1F7744F4" w14:textId="77777777" w:rsidR="004353FA" w:rsidRPr="004353FA" w:rsidRDefault="004353FA" w:rsidP="004353FA">
      <w:pPr>
        <w:numPr>
          <w:ilvl w:val="0"/>
          <w:numId w:val="2"/>
        </w:numPr>
      </w:pPr>
      <w:proofErr w:type="gramStart"/>
      <w:r w:rsidRPr="004353FA">
        <w:lastRenderedPageBreak/>
        <w:t>les</w:t>
      </w:r>
      <w:proofErr w:type="gramEnd"/>
      <w:r w:rsidRPr="004353FA">
        <w:t xml:space="preserve"> fichiers de configuration au format JSON ou XML qui intègrent les éléments de paramétrage de l’application, notamment la description des environnements. Générer automatiquement des environnements par script, dans une approche Infrastructure As Code, équivaut à produire une documentation complète et exhaustive puisqu’elle est validée par le résultat de leur exécution ;</w:t>
      </w:r>
    </w:p>
    <w:p w14:paraId="3D9D0E5F" w14:textId="77777777" w:rsidR="004353FA" w:rsidRPr="004353FA" w:rsidRDefault="004353FA" w:rsidP="004353FA">
      <w:pPr>
        <w:numPr>
          <w:ilvl w:val="0"/>
          <w:numId w:val="2"/>
        </w:numPr>
      </w:pPr>
      <w:proofErr w:type="gramStart"/>
      <w:r w:rsidRPr="004353FA">
        <w:t>les</w:t>
      </w:r>
      <w:proofErr w:type="gramEnd"/>
      <w:r w:rsidRPr="004353FA">
        <w:t xml:space="preserve"> fichiers de description des structures de données, en JSON ou XML ;</w:t>
      </w:r>
    </w:p>
    <w:p w14:paraId="4D3D2229" w14:textId="77777777" w:rsidR="004353FA" w:rsidRPr="004353FA" w:rsidRDefault="004353FA" w:rsidP="004353FA">
      <w:pPr>
        <w:numPr>
          <w:ilvl w:val="0"/>
          <w:numId w:val="2"/>
        </w:numPr>
      </w:pPr>
      <w:proofErr w:type="gramStart"/>
      <w:r w:rsidRPr="004353FA">
        <w:t>les</w:t>
      </w:r>
      <w:proofErr w:type="gramEnd"/>
      <w:r w:rsidRPr="004353FA">
        <w:t xml:space="preserve"> langages déclaratifs permettant d’apporter une compréhension complète du QUOI. Par exemple, HTML décrit les éléments constitutifs d’une page web ;</w:t>
      </w:r>
    </w:p>
    <w:p w14:paraId="3D545BF5" w14:textId="77777777" w:rsidR="004353FA" w:rsidRPr="004353FA" w:rsidRDefault="004353FA" w:rsidP="004353FA">
      <w:pPr>
        <w:numPr>
          <w:ilvl w:val="0"/>
          <w:numId w:val="2"/>
        </w:numPr>
      </w:pPr>
      <w:proofErr w:type="gramStart"/>
      <w:r w:rsidRPr="004353FA">
        <w:t>les</w:t>
      </w:r>
      <w:proofErr w:type="gramEnd"/>
      <w:r w:rsidRPr="004353FA">
        <w:t xml:space="preserve"> langages Turing-complets disposent souvent d’un outil de génération automatique de documentation. Il est évidemment nécessaire que le développeur ait documenté au préalable les objets qu’il a construits ;</w:t>
      </w:r>
    </w:p>
    <w:p w14:paraId="68589068" w14:textId="77777777" w:rsidR="004353FA" w:rsidRPr="004353FA" w:rsidRDefault="004353FA" w:rsidP="004353FA">
      <w:pPr>
        <w:numPr>
          <w:ilvl w:val="0"/>
          <w:numId w:val="2"/>
        </w:numPr>
      </w:pPr>
      <w:proofErr w:type="gramStart"/>
      <w:r w:rsidRPr="004353FA">
        <w:t>les</w:t>
      </w:r>
      <w:proofErr w:type="gramEnd"/>
      <w:r w:rsidRPr="004353FA">
        <w:t xml:space="preserve"> DSL (</w:t>
      </w:r>
      <w:r w:rsidRPr="004353FA">
        <w:rPr>
          <w:i/>
          <w:iCs/>
        </w:rPr>
        <w:t xml:space="preserve">Domain </w:t>
      </w:r>
      <w:proofErr w:type="spellStart"/>
      <w:r w:rsidRPr="004353FA">
        <w:rPr>
          <w:i/>
          <w:iCs/>
        </w:rPr>
        <w:t>Specific</w:t>
      </w:r>
      <w:proofErr w:type="spellEnd"/>
      <w:r w:rsidRPr="004353FA">
        <w:rPr>
          <w:i/>
          <w:iCs/>
        </w:rPr>
        <w:t xml:space="preserve"> </w:t>
      </w:r>
      <w:proofErr w:type="spellStart"/>
      <w:r w:rsidRPr="004353FA">
        <w:rPr>
          <w:i/>
          <w:iCs/>
        </w:rPr>
        <w:t>Language</w:t>
      </w:r>
      <w:proofErr w:type="spellEnd"/>
      <w:r w:rsidRPr="004353FA">
        <w:t>), comme SQL par exemple, offrent un niveau de compréhension de haut niveau sur les instructions exécutées ;</w:t>
      </w:r>
    </w:p>
    <w:p w14:paraId="28A8CDC9" w14:textId="77777777" w:rsidR="004353FA" w:rsidRPr="004353FA" w:rsidRDefault="004353FA" w:rsidP="004353FA">
      <w:pPr>
        <w:numPr>
          <w:ilvl w:val="0"/>
          <w:numId w:val="2"/>
        </w:numPr>
      </w:pPr>
      <w:proofErr w:type="gramStart"/>
      <w:r w:rsidRPr="004353FA">
        <w:t>les</w:t>
      </w:r>
      <w:proofErr w:type="gramEnd"/>
      <w:r w:rsidRPr="004353FA">
        <w:t xml:space="preserve"> scripts de TDD (</w:t>
      </w:r>
      <w:r w:rsidRPr="004353FA">
        <w:rPr>
          <w:i/>
          <w:iCs/>
        </w:rPr>
        <w:t>Test-</w:t>
      </w:r>
      <w:proofErr w:type="spellStart"/>
      <w:r w:rsidRPr="004353FA">
        <w:rPr>
          <w:i/>
          <w:iCs/>
        </w:rPr>
        <w:t>driven</w:t>
      </w:r>
      <w:proofErr w:type="spellEnd"/>
      <w:r w:rsidRPr="004353FA">
        <w:rPr>
          <w:i/>
          <w:iCs/>
        </w:rPr>
        <w:t xml:space="preserve"> </w:t>
      </w:r>
      <w:proofErr w:type="spellStart"/>
      <w:r w:rsidRPr="004353FA">
        <w:rPr>
          <w:i/>
          <w:iCs/>
        </w:rPr>
        <w:t>Development</w:t>
      </w:r>
      <w:proofErr w:type="spellEnd"/>
      <w:r w:rsidRPr="004353FA">
        <w:t>) et de BDD (</w:t>
      </w:r>
      <w:proofErr w:type="spellStart"/>
      <w:r w:rsidRPr="004353FA">
        <w:rPr>
          <w:i/>
          <w:iCs/>
        </w:rPr>
        <w:t>Behaviour-driven</w:t>
      </w:r>
      <w:proofErr w:type="spellEnd"/>
      <w:r w:rsidRPr="004353FA">
        <w:rPr>
          <w:i/>
          <w:iCs/>
        </w:rPr>
        <w:t xml:space="preserve"> </w:t>
      </w:r>
      <w:proofErr w:type="spellStart"/>
      <w:r w:rsidRPr="004353FA">
        <w:rPr>
          <w:i/>
          <w:iCs/>
        </w:rPr>
        <w:t>Development</w:t>
      </w:r>
      <w:proofErr w:type="spellEnd"/>
      <w:r w:rsidRPr="004353FA">
        <w:t xml:space="preserve">), réalisés en langage descriptif tel </w:t>
      </w:r>
      <w:proofErr w:type="spellStart"/>
      <w:r w:rsidRPr="004353FA">
        <w:t>Gerkins</w:t>
      </w:r>
      <w:proofErr w:type="spellEnd"/>
      <w:r w:rsidRPr="004353FA">
        <w:t>, et qui permettent de comprendre le fonctionnement de l’application de façon sûre puisqu’ils génèrent des tests automatisés de vérification.</w:t>
      </w:r>
    </w:p>
    <w:p w14:paraId="6EEB4FFD" w14:textId="77777777" w:rsidR="004353FA" w:rsidRPr="004353FA" w:rsidRDefault="004353FA" w:rsidP="004353FA">
      <w:r w:rsidRPr="004353FA">
        <w:t>De manière générale, le code de l’application EST de la documentation. C’est pour cela qu’il doit être lisible, clair, commenté. Cette lisibilité fait partie des éléments de qualité qui doivent être vérifiés automatiquement au travers des outils de vérification de la qualité du code.</w:t>
      </w:r>
    </w:p>
    <w:p w14:paraId="5468910C" w14:textId="77777777" w:rsidR="004353FA" w:rsidRPr="004353FA" w:rsidRDefault="004353FA" w:rsidP="004353FA">
      <w:r w:rsidRPr="004353FA">
        <w:t>3. Comment gérer la performance</w:t>
      </w:r>
    </w:p>
    <w:p w14:paraId="4A91682E" w14:textId="77777777" w:rsidR="004353FA" w:rsidRPr="004353FA" w:rsidRDefault="004353FA" w:rsidP="004353FA">
      <w:pPr>
        <w:rPr>
          <w:b/>
          <w:bCs/>
        </w:rPr>
      </w:pPr>
      <w:r w:rsidRPr="004353FA">
        <w:rPr>
          <w:b/>
          <w:bCs/>
        </w:rPr>
        <w:t>a. Le piège des indicateurs de performance</w:t>
      </w:r>
    </w:p>
    <w:p w14:paraId="475678FD" w14:textId="77777777" w:rsidR="004353FA" w:rsidRPr="004353FA" w:rsidRDefault="004353FA" w:rsidP="004353FA">
      <w:r w:rsidRPr="004353FA">
        <w:t>Dans une organisation en silos, les processus sont statiques et répondent au besoin d’efficacité de chaque service pour remplir sa part de contrat. Une fois qu’ils sont édictés, généralement dans une approche par le haut, venant de la direction, la mesure de la performance permet d’évaluer la capacité des équipes et des individus à respecter ces processus et à les rendre les plus efficaces possibles. </w:t>
      </w:r>
    </w:p>
    <w:p w14:paraId="5B6C584D" w14:textId="77777777" w:rsidR="004353FA" w:rsidRPr="004353FA" w:rsidRDefault="004353FA" w:rsidP="004353FA">
      <w:r w:rsidRPr="004353FA">
        <w:t>La mesure de cette performance se fait au travers de KPI (</w:t>
      </w:r>
      <w:r w:rsidRPr="004353FA">
        <w:rPr>
          <w:i/>
          <w:iCs/>
        </w:rPr>
        <w:t xml:space="preserve">Key Performance </w:t>
      </w:r>
      <w:proofErr w:type="spellStart"/>
      <w:r w:rsidRPr="004353FA">
        <w:rPr>
          <w:i/>
          <w:iCs/>
        </w:rPr>
        <w:t>Indicators</w:t>
      </w:r>
      <w:proofErr w:type="spellEnd"/>
      <w:r w:rsidRPr="004353FA">
        <w:t>) qui reflètent le comportement des individus et de l’équipe. Le KPI se caractérise par une mesure objective de l’accomplissement de tout ou partie du processus. Cette mesure devant être chiffrée, la performance est jugée sur la capacité des individus ou de l’équipe à atteindre une valeur minimale fixée par la direction de l’organisation ou du service.</w:t>
      </w:r>
    </w:p>
    <w:p w14:paraId="66846C5E" w14:textId="77777777" w:rsidR="004353FA" w:rsidRPr="004353FA" w:rsidRDefault="004353FA" w:rsidP="004353FA">
      <w:r w:rsidRPr="004353FA">
        <w:lastRenderedPageBreak/>
        <w:t xml:space="preserve">Toutefois, il y a un biais important lié à l’utilisation des indicateurs de performance, exprimé par la loi de </w:t>
      </w:r>
      <w:proofErr w:type="spellStart"/>
      <w:r w:rsidRPr="004353FA">
        <w:t>Goodhart</w:t>
      </w:r>
      <w:proofErr w:type="spellEnd"/>
      <w:r w:rsidRPr="004353FA">
        <w:t xml:space="preserve"> en 1975 : "</w:t>
      </w:r>
      <w:r w:rsidRPr="004353FA">
        <w:rPr>
          <w:b/>
          <w:bCs/>
        </w:rPr>
        <w:t>Lorsqu’une mesure devient un objectif, elle cesse d’être une bonne mesure</w:t>
      </w:r>
      <w:r w:rsidRPr="004353FA">
        <w:t>".</w:t>
      </w:r>
    </w:p>
    <w:p w14:paraId="013E4FA8" w14:textId="77777777" w:rsidR="004353FA" w:rsidRPr="004353FA" w:rsidRDefault="004353FA" w:rsidP="004353FA">
      <w:r w:rsidRPr="004353FA">
        <w:t>Cette loi met en évidence le danger d’une mesure devenant l’objectif de l’organisation au lieu de répondre à sa vision stratégique et à sa finalité. Les équipes et leurs membres chercheront d’abord à s’assurer que l’indicateur de performance est atteint, considérant qu’ils auront rempli leur objectif. L’objectif et l’indicateur se confondent. Cet effet peut être renforcé en conditionnant une rétribution financière à l’atteinte de l’indicateur.</w:t>
      </w:r>
    </w:p>
    <w:p w14:paraId="4E829D06" w14:textId="77777777" w:rsidR="004353FA" w:rsidRPr="004353FA" w:rsidRDefault="004353FA" w:rsidP="004353FA">
      <w:r w:rsidRPr="004353FA">
        <w:t>On peut également illustrer le problème posé par les indicateurs de performance en se référant à la problématique des objectifs intermédiaires abordée dans le chapitre Les principes du DevOps. Chaque chef de projet impliqué dans la réalisation d’un programme d’entreprise se voit assigner un objectif intermédiaire. L’entreprise mettra en évidence un certain nombre d’indicateurs permettant de valider l’atteinte de cet objectif intermédiaire. Le chef de projet mettra tout en œuvre pour l’atteindre sans pour autant le mettre en perspective de la vision globale de l’enjeu du programme dans l’entreprise.</w:t>
      </w:r>
    </w:p>
    <w:p w14:paraId="03CEC37B" w14:textId="77777777" w:rsidR="004353FA" w:rsidRPr="004353FA" w:rsidRDefault="004353FA" w:rsidP="004353FA">
      <w:pPr>
        <w:rPr>
          <w:b/>
          <w:bCs/>
        </w:rPr>
      </w:pPr>
      <w:r w:rsidRPr="004353FA">
        <w:rPr>
          <w:b/>
          <w:bCs/>
        </w:rPr>
        <w:t>b. La conception agile et DevOps de la mesure du succès</w:t>
      </w:r>
    </w:p>
    <w:p w14:paraId="2E2DEB86" w14:textId="77777777" w:rsidR="004353FA" w:rsidRPr="004353FA" w:rsidRDefault="004353FA" w:rsidP="004353FA">
      <w:r w:rsidRPr="004353FA">
        <w:t>En miroir d’une organisation pilotée par des KPI, la mesure de performance d’une organisation DevOps répond à un principe agile qui englobe la performance de l’organisation dans son ensemble :</w:t>
      </w:r>
    </w:p>
    <w:p w14:paraId="32B1431B" w14:textId="77777777" w:rsidR="004353FA" w:rsidRPr="004353FA" w:rsidRDefault="004353FA" w:rsidP="004353FA">
      <w:r w:rsidRPr="004353FA">
        <w:rPr>
          <w:b/>
          <w:bCs/>
        </w:rPr>
        <w:t>"La disponibilité de solutions opérationnelles est la principale mesure d’avancement"</w:t>
      </w:r>
    </w:p>
    <w:p w14:paraId="55682AF7" w14:textId="77777777" w:rsidR="004353FA" w:rsidRPr="004353FA" w:rsidRDefault="004353FA" w:rsidP="004353FA">
      <w:r w:rsidRPr="004353FA">
        <w:t xml:space="preserve">Il y a une opposition entre une organisation en silos qui cherche à maximiser plusieurs performances locales pour satisfaire aux besoins des services, et une organisation agile qui cherche à maximiser une performance globale pour satisfaire aux besoins des clients. C’est également dans cet esprit que la mesure de la performance agile se concentrera sur l’équipe plutôt que sur les individus. Elle le fait en recueillant des données d’utilisation de l’application elle-même, ce qui aligne l’objectif recherché sur la vision de l’entreprise, et évite le biais énoncé par la loi de </w:t>
      </w:r>
      <w:proofErr w:type="spellStart"/>
      <w:r w:rsidRPr="004353FA">
        <w:t>Goodhart</w:t>
      </w:r>
      <w:proofErr w:type="spellEnd"/>
      <w:r w:rsidRPr="004353FA">
        <w:t>.</w:t>
      </w:r>
    </w:p>
    <w:p w14:paraId="18451C80" w14:textId="77777777" w:rsidR="004353FA" w:rsidRPr="004353FA" w:rsidRDefault="004353FA" w:rsidP="004353FA">
      <w:r w:rsidRPr="004353FA">
        <w:t>Pour donner quelques exemples</w:t>
      </w:r>
    </w:p>
    <w:p w14:paraId="2E631B04" w14:textId="77777777" w:rsidR="004353FA" w:rsidRPr="004353FA" w:rsidRDefault="004353FA" w:rsidP="004353FA">
      <w:pPr>
        <w:numPr>
          <w:ilvl w:val="0"/>
          <w:numId w:val="3"/>
        </w:numPr>
      </w:pPr>
      <w:r w:rsidRPr="004353FA">
        <w:t>Un indicateur de performance pour un développeur peut être le nombre de lignes de code produites. Mais cet indicateur n’apporte aucune information sur la valeur qui est apportée aux utilisateurs. Le bon indicateur doit plutôt mesurer la valeur apportée au client final et à laquelle participe toute l’équipe.</w:t>
      </w:r>
    </w:p>
    <w:p w14:paraId="2B102AFE" w14:textId="77777777" w:rsidR="004353FA" w:rsidRPr="004353FA" w:rsidRDefault="004353FA" w:rsidP="004353FA">
      <w:pPr>
        <w:numPr>
          <w:ilvl w:val="0"/>
          <w:numId w:val="3"/>
        </w:numPr>
      </w:pPr>
      <w:r w:rsidRPr="004353FA">
        <w:t xml:space="preserve">Un indicateur peut mesurer le temps d’intervention d’un ingénieur système pour réparer une anomalie, mais il n’est d’aucune utilité si la cause du problème n’est pas traitée dans son ensemble. Le bon indicateur doit plutôt mesurer la quantité </w:t>
      </w:r>
      <w:r w:rsidRPr="004353FA">
        <w:lastRenderedPageBreak/>
        <w:t>de stock de défauts en cours, ce qui donne la vision globale de la qualité perçue du produit.</w:t>
      </w:r>
    </w:p>
    <w:p w14:paraId="264E1124" w14:textId="77777777" w:rsidR="004353FA" w:rsidRPr="004353FA" w:rsidRDefault="004353FA" w:rsidP="004353FA">
      <w:pPr>
        <w:numPr>
          <w:ilvl w:val="0"/>
          <w:numId w:val="3"/>
        </w:numPr>
      </w:pPr>
      <w:r w:rsidRPr="004353FA">
        <w:t>Un autre exemple de KPI qui ne correspond pas à la démarche agile est le taux de disponibilité de l’application. Plus il est élevé, plus il suppose un taux de changement bas. Or, l’objectif du DevOps est d’accélérer les changements et de les réaliser en continu. On préférera mesurer la fréquence des déploiements de l’application ou le pourcentage d’échecs et de retours arrière.</w:t>
      </w:r>
    </w:p>
    <w:p w14:paraId="1BF454C4" w14:textId="77777777" w:rsidR="004353FA" w:rsidRPr="004353FA" w:rsidRDefault="004353FA" w:rsidP="004353FA">
      <w:r w:rsidRPr="004353FA">
        <w:t>Les indicateurs DevOps seront abordés en détail dans le dernier chapitre.</w:t>
      </w:r>
    </w:p>
    <w:p w14:paraId="0764B002" w14:textId="77777777" w:rsidR="004353FA" w:rsidRPr="004353FA" w:rsidRDefault="004353FA" w:rsidP="004353FA">
      <w:pPr>
        <w:rPr>
          <w:b/>
          <w:bCs/>
        </w:rPr>
      </w:pPr>
      <w:r w:rsidRPr="004353FA">
        <w:rPr>
          <w:b/>
          <w:bCs/>
        </w:rPr>
        <w:t xml:space="preserve">c. L’apport des </w:t>
      </w:r>
      <w:proofErr w:type="spellStart"/>
      <w:r w:rsidRPr="004353FA">
        <w:rPr>
          <w:b/>
          <w:bCs/>
        </w:rPr>
        <w:t>OKRs</w:t>
      </w:r>
      <w:proofErr w:type="spellEnd"/>
    </w:p>
    <w:p w14:paraId="3CC0F72C" w14:textId="77777777" w:rsidR="004353FA" w:rsidRPr="004353FA" w:rsidRDefault="004353FA" w:rsidP="004353FA">
      <w:r w:rsidRPr="004353FA">
        <w:t>Les OKR (</w:t>
      </w:r>
      <w:r w:rsidRPr="004353FA">
        <w:rPr>
          <w:i/>
          <w:iCs/>
        </w:rPr>
        <w:t xml:space="preserve">Objectives Key </w:t>
      </w:r>
      <w:proofErr w:type="spellStart"/>
      <w:r w:rsidRPr="004353FA">
        <w:rPr>
          <w:i/>
          <w:iCs/>
        </w:rPr>
        <w:t>Results</w:t>
      </w:r>
      <w:proofErr w:type="spellEnd"/>
      <w:r w:rsidRPr="004353FA">
        <w:t>), ont une place particulière dans l’univers agile. En effet, cette méthode de mesure de la performance est directement héritée du MBO (</w:t>
      </w:r>
      <w:r w:rsidRPr="004353FA">
        <w:rPr>
          <w:i/>
          <w:iCs/>
        </w:rPr>
        <w:t>Management By Objectives</w:t>
      </w:r>
      <w:r w:rsidRPr="004353FA">
        <w:t>), apportée par Peter Drucker, célèbre consultant en management américain, puis adaptée pour les besoins d’Intel sous la forme des OKR. En 1999, Google est la première startup du Digital à intégrer l’utilisation des OKR comme moteur de son développement.</w:t>
      </w:r>
    </w:p>
    <w:p w14:paraId="51D72089" w14:textId="77777777" w:rsidR="004353FA" w:rsidRPr="004353FA" w:rsidRDefault="004353FA" w:rsidP="004353FA">
      <w:r w:rsidRPr="004353FA">
        <w:t>Le principe des OKR est simple. Il s’agit de définir un grand objectif, ambitieux, sur un horizon de temps relativement court et durant lequel l’individu et l’équipe peuvent se projeter, c’est-à-dire autour d’une année. Pour mesurer l’atteinte de cet objectif, environ cinq "</w:t>
      </w:r>
      <w:r w:rsidRPr="004353FA">
        <w:rPr>
          <w:i/>
          <w:iCs/>
        </w:rPr>
        <w:t xml:space="preserve">Key </w:t>
      </w:r>
      <w:proofErr w:type="spellStart"/>
      <w:r w:rsidRPr="004353FA">
        <w:rPr>
          <w:i/>
          <w:iCs/>
        </w:rPr>
        <w:t>Results</w:t>
      </w:r>
      <w:proofErr w:type="spellEnd"/>
      <w:r w:rsidRPr="004353FA">
        <w:t>", soit résultats clés, sont déterminés comme autant de résultats mesurables et participant tous à l’atteinte de l’objectif.</w:t>
      </w:r>
    </w:p>
    <w:p w14:paraId="45080189" w14:textId="77777777" w:rsidR="004353FA" w:rsidRPr="004353FA" w:rsidRDefault="004353FA" w:rsidP="004353FA">
      <w:r w:rsidRPr="004353FA">
        <w:t>Les OKR ne garantissent pas un fonctionnement agile et DevOps et ils n’ont par ailleurs pas été pensés en ce sens. Il est tout à fait possible, et même courant, d’utiliser les OKR en appliquant une méthodologie en cascade. Mais l’avantage des OKR dans un contexte agile est qu’ils définissent un moyen d’aligner toute l’organisation autour d’une même vision et d’un même objectif. Ce faisant, cette projection permet d’éviter la production d’indicateurs ne satisfaisant qu’à des intérêts locaux au niveau des services.</w:t>
      </w:r>
    </w:p>
    <w:p w14:paraId="5F2FAF79" w14:textId="77777777" w:rsidR="004353FA" w:rsidRPr="004353FA" w:rsidRDefault="004353FA" w:rsidP="004353FA">
      <w:r w:rsidRPr="004353FA">
        <w:t xml:space="preserve">Il faut malgré tout être attentif à la définition des résultats clés pour éviter l’effet de la loi de </w:t>
      </w:r>
      <w:proofErr w:type="spellStart"/>
      <w:r w:rsidRPr="004353FA">
        <w:t>Goodhart</w:t>
      </w:r>
      <w:proofErr w:type="spellEnd"/>
      <w:r w:rsidRPr="004353FA">
        <w:t>. Des résultats clés définis à trop bas niveau, pas assez partagés, ou axés sur les processus, pourraient éloigner les équipes de l’objectif réel et revenir dans le champ d’application des KPI par service.</w:t>
      </w:r>
    </w:p>
    <w:p w14:paraId="436B9278" w14:textId="77777777" w:rsidR="004353FA" w:rsidRPr="004353FA" w:rsidRDefault="004353FA" w:rsidP="004353FA">
      <w:r w:rsidRPr="004353FA">
        <w:t xml:space="preserve">Dans la mise en œuvre, les OKR doivent être revus et appréciés régulièrement. Une revue trimestrielle est un rythme intéressant, suffisamment long pour observer l’impact des actions sur les résultats, et suffisamment court pour opérer des changements si les résultats clés ne sont pas au niveau attendu. Ils s’adaptent donc parfaitement bien à un contexte </w:t>
      </w:r>
      <w:proofErr w:type="spellStart"/>
      <w:r w:rsidRPr="004353FA">
        <w:t>SAFe</w:t>
      </w:r>
      <w:proofErr w:type="spellEnd"/>
      <w:r w:rsidRPr="004353FA">
        <w:t xml:space="preserve"> (</w:t>
      </w:r>
      <w:proofErr w:type="spellStart"/>
      <w:r w:rsidRPr="004353FA">
        <w:rPr>
          <w:i/>
          <w:iCs/>
        </w:rPr>
        <w:t>Scale</w:t>
      </w:r>
      <w:proofErr w:type="spellEnd"/>
      <w:r w:rsidRPr="004353FA">
        <w:rPr>
          <w:i/>
          <w:iCs/>
        </w:rPr>
        <w:t xml:space="preserve"> Agile Framework</w:t>
      </w:r>
      <w:r w:rsidRPr="004353FA">
        <w:t>) basé sur des incréments de dix semaines.</w:t>
      </w:r>
    </w:p>
    <w:p w14:paraId="10DED373" w14:textId="77777777" w:rsidR="004353FA" w:rsidRPr="004353FA" w:rsidRDefault="004353FA" w:rsidP="004353FA">
      <w:r w:rsidRPr="004353FA">
        <w:t>Pour référence, Allan Kelly, dans </w:t>
      </w:r>
      <w:proofErr w:type="spellStart"/>
      <w:r w:rsidRPr="004353FA">
        <w:rPr>
          <w:i/>
          <w:iCs/>
        </w:rPr>
        <w:t>Succeeding</w:t>
      </w:r>
      <w:proofErr w:type="spellEnd"/>
      <w:r w:rsidRPr="004353FA">
        <w:rPr>
          <w:i/>
          <w:iCs/>
        </w:rPr>
        <w:t xml:space="preserve"> </w:t>
      </w:r>
      <w:proofErr w:type="spellStart"/>
      <w:r w:rsidRPr="004353FA">
        <w:rPr>
          <w:i/>
          <w:iCs/>
        </w:rPr>
        <w:t>with</w:t>
      </w:r>
      <w:proofErr w:type="spellEnd"/>
      <w:r w:rsidRPr="004353FA">
        <w:rPr>
          <w:i/>
          <w:iCs/>
        </w:rPr>
        <w:t xml:space="preserve"> </w:t>
      </w:r>
      <w:proofErr w:type="spellStart"/>
      <w:r w:rsidRPr="004353FA">
        <w:rPr>
          <w:i/>
          <w:iCs/>
        </w:rPr>
        <w:t>OKRs</w:t>
      </w:r>
      <w:proofErr w:type="spellEnd"/>
      <w:r w:rsidRPr="004353FA">
        <w:rPr>
          <w:i/>
          <w:iCs/>
        </w:rPr>
        <w:t xml:space="preserve"> in Agile</w:t>
      </w:r>
      <w:r w:rsidRPr="004353FA">
        <w:t>, donne une vision détaillée sur la façon d’appliquer les OKR dans une organisation agile.</w:t>
      </w:r>
    </w:p>
    <w:p w14:paraId="0644756D" w14:textId="77777777" w:rsidR="004353FA" w:rsidRDefault="004353FA"/>
    <w:sectPr w:rsidR="00435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968C5"/>
    <w:multiLevelType w:val="multilevel"/>
    <w:tmpl w:val="23C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9A3C81"/>
    <w:multiLevelType w:val="multilevel"/>
    <w:tmpl w:val="D20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241BC0"/>
    <w:multiLevelType w:val="multilevel"/>
    <w:tmpl w:val="9DC2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8461319">
    <w:abstractNumId w:val="1"/>
  </w:num>
  <w:num w:numId="2" w16cid:durableId="759372087">
    <w:abstractNumId w:val="2"/>
  </w:num>
  <w:num w:numId="3" w16cid:durableId="146218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FA"/>
    <w:rsid w:val="003027C9"/>
    <w:rsid w:val="004353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EA7E"/>
  <w15:chartTrackingRefBased/>
  <w15:docId w15:val="{0323A7D7-8411-4E1B-B832-3A1FF6A8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5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53F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53F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53F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53F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53F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53F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53F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53F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53F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53F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53F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53F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53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53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53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53FA"/>
    <w:rPr>
      <w:rFonts w:eastAsiaTheme="majorEastAsia" w:cstheme="majorBidi"/>
      <w:color w:val="272727" w:themeColor="text1" w:themeTint="D8"/>
    </w:rPr>
  </w:style>
  <w:style w:type="paragraph" w:styleId="Titre">
    <w:name w:val="Title"/>
    <w:basedOn w:val="Normal"/>
    <w:next w:val="Normal"/>
    <w:link w:val="TitreCar"/>
    <w:uiPriority w:val="10"/>
    <w:qFormat/>
    <w:rsid w:val="00435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53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53F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53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53FA"/>
    <w:pPr>
      <w:spacing w:before="160"/>
      <w:jc w:val="center"/>
    </w:pPr>
    <w:rPr>
      <w:i/>
      <w:iCs/>
      <w:color w:val="404040" w:themeColor="text1" w:themeTint="BF"/>
    </w:rPr>
  </w:style>
  <w:style w:type="character" w:customStyle="1" w:styleId="CitationCar">
    <w:name w:val="Citation Car"/>
    <w:basedOn w:val="Policepardfaut"/>
    <w:link w:val="Citation"/>
    <w:uiPriority w:val="29"/>
    <w:rsid w:val="004353FA"/>
    <w:rPr>
      <w:i/>
      <w:iCs/>
      <w:color w:val="404040" w:themeColor="text1" w:themeTint="BF"/>
    </w:rPr>
  </w:style>
  <w:style w:type="paragraph" w:styleId="Paragraphedeliste">
    <w:name w:val="List Paragraph"/>
    <w:basedOn w:val="Normal"/>
    <w:uiPriority w:val="34"/>
    <w:qFormat/>
    <w:rsid w:val="004353FA"/>
    <w:pPr>
      <w:ind w:left="720"/>
      <w:contextualSpacing/>
    </w:pPr>
  </w:style>
  <w:style w:type="character" w:styleId="Accentuationintense">
    <w:name w:val="Intense Emphasis"/>
    <w:basedOn w:val="Policepardfaut"/>
    <w:uiPriority w:val="21"/>
    <w:qFormat/>
    <w:rsid w:val="004353FA"/>
    <w:rPr>
      <w:i/>
      <w:iCs/>
      <w:color w:val="0F4761" w:themeColor="accent1" w:themeShade="BF"/>
    </w:rPr>
  </w:style>
  <w:style w:type="paragraph" w:styleId="Citationintense">
    <w:name w:val="Intense Quote"/>
    <w:basedOn w:val="Normal"/>
    <w:next w:val="Normal"/>
    <w:link w:val="CitationintenseCar"/>
    <w:uiPriority w:val="30"/>
    <w:qFormat/>
    <w:rsid w:val="00435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53FA"/>
    <w:rPr>
      <w:i/>
      <w:iCs/>
      <w:color w:val="0F4761" w:themeColor="accent1" w:themeShade="BF"/>
    </w:rPr>
  </w:style>
  <w:style w:type="character" w:styleId="Rfrenceintense">
    <w:name w:val="Intense Reference"/>
    <w:basedOn w:val="Policepardfaut"/>
    <w:uiPriority w:val="32"/>
    <w:qFormat/>
    <w:rsid w:val="004353FA"/>
    <w:rPr>
      <w:b/>
      <w:bCs/>
      <w:smallCaps/>
      <w:color w:val="0F4761" w:themeColor="accent1" w:themeShade="BF"/>
      <w:spacing w:val="5"/>
    </w:rPr>
  </w:style>
  <w:style w:type="character" w:styleId="Lienhypertexte">
    <w:name w:val="Hyperlink"/>
    <w:basedOn w:val="Policepardfaut"/>
    <w:uiPriority w:val="99"/>
    <w:unhideWhenUsed/>
    <w:rsid w:val="004353FA"/>
    <w:rPr>
      <w:color w:val="467886" w:themeColor="hyperlink"/>
      <w:u w:val="single"/>
    </w:rPr>
  </w:style>
  <w:style w:type="character" w:styleId="Mentionnonrsolue">
    <w:name w:val="Unresolved Mention"/>
    <w:basedOn w:val="Policepardfaut"/>
    <w:uiPriority w:val="99"/>
    <w:semiHidden/>
    <w:unhideWhenUsed/>
    <w:rsid w:val="00435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067717">
      <w:bodyDiv w:val="1"/>
      <w:marLeft w:val="0"/>
      <w:marRight w:val="0"/>
      <w:marTop w:val="0"/>
      <w:marBottom w:val="0"/>
      <w:divBdr>
        <w:top w:val="none" w:sz="0" w:space="0" w:color="auto"/>
        <w:left w:val="none" w:sz="0" w:space="0" w:color="auto"/>
        <w:bottom w:val="none" w:sz="0" w:space="0" w:color="auto"/>
        <w:right w:val="none" w:sz="0" w:space="0" w:color="auto"/>
      </w:divBdr>
      <w:divsChild>
        <w:div w:id="1924144428">
          <w:marLeft w:val="0"/>
          <w:marRight w:val="0"/>
          <w:marTop w:val="600"/>
          <w:marBottom w:val="0"/>
          <w:divBdr>
            <w:top w:val="none" w:sz="0" w:space="0" w:color="auto"/>
            <w:left w:val="none" w:sz="0" w:space="0" w:color="auto"/>
            <w:bottom w:val="none" w:sz="0" w:space="0" w:color="auto"/>
            <w:right w:val="none" w:sz="0" w:space="0" w:color="auto"/>
          </w:divBdr>
        </w:div>
        <w:div w:id="632373882">
          <w:marLeft w:val="0"/>
          <w:marRight w:val="0"/>
          <w:marTop w:val="600"/>
          <w:marBottom w:val="0"/>
          <w:divBdr>
            <w:top w:val="none" w:sz="0" w:space="0" w:color="auto"/>
            <w:left w:val="none" w:sz="0" w:space="0" w:color="auto"/>
            <w:bottom w:val="none" w:sz="0" w:space="0" w:color="auto"/>
            <w:right w:val="none" w:sz="0" w:space="0" w:color="auto"/>
          </w:divBdr>
          <w:divsChild>
            <w:div w:id="1845315544">
              <w:marLeft w:val="0"/>
              <w:marRight w:val="0"/>
              <w:marTop w:val="450"/>
              <w:marBottom w:val="0"/>
              <w:divBdr>
                <w:top w:val="none" w:sz="0" w:space="0" w:color="auto"/>
                <w:left w:val="none" w:sz="0" w:space="0" w:color="auto"/>
                <w:bottom w:val="none" w:sz="0" w:space="0" w:color="auto"/>
                <w:right w:val="none" w:sz="0" w:space="0" w:color="auto"/>
              </w:divBdr>
              <w:divsChild>
                <w:div w:id="63720971">
                  <w:marLeft w:val="0"/>
                  <w:marRight w:val="0"/>
                  <w:marTop w:val="0"/>
                  <w:marBottom w:val="0"/>
                  <w:divBdr>
                    <w:top w:val="none" w:sz="0" w:space="0" w:color="auto"/>
                    <w:left w:val="none" w:sz="0" w:space="0" w:color="auto"/>
                    <w:bottom w:val="none" w:sz="0" w:space="0" w:color="auto"/>
                    <w:right w:val="none" w:sz="0" w:space="0" w:color="auto"/>
                  </w:divBdr>
                  <w:divsChild>
                    <w:div w:id="638337866">
                      <w:marLeft w:val="0"/>
                      <w:marRight w:val="0"/>
                      <w:marTop w:val="150"/>
                      <w:marBottom w:val="150"/>
                      <w:divBdr>
                        <w:top w:val="none" w:sz="0" w:space="0" w:color="auto"/>
                        <w:left w:val="none" w:sz="0" w:space="0" w:color="auto"/>
                        <w:bottom w:val="none" w:sz="0" w:space="0" w:color="auto"/>
                        <w:right w:val="none" w:sz="0" w:space="0" w:color="auto"/>
                      </w:divBdr>
                    </w:div>
                  </w:divsChild>
                </w:div>
                <w:div w:id="490951195">
                  <w:marLeft w:val="0"/>
                  <w:marRight w:val="0"/>
                  <w:marTop w:val="0"/>
                  <w:marBottom w:val="0"/>
                  <w:divBdr>
                    <w:top w:val="none" w:sz="0" w:space="0" w:color="auto"/>
                    <w:left w:val="none" w:sz="0" w:space="0" w:color="auto"/>
                    <w:bottom w:val="none" w:sz="0" w:space="0" w:color="auto"/>
                    <w:right w:val="none" w:sz="0" w:space="0" w:color="auto"/>
                  </w:divBdr>
                  <w:divsChild>
                    <w:div w:id="291446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39089859">
              <w:marLeft w:val="0"/>
              <w:marRight w:val="0"/>
              <w:marTop w:val="450"/>
              <w:marBottom w:val="0"/>
              <w:divBdr>
                <w:top w:val="none" w:sz="0" w:space="0" w:color="auto"/>
                <w:left w:val="none" w:sz="0" w:space="0" w:color="auto"/>
                <w:bottom w:val="none" w:sz="0" w:space="0" w:color="auto"/>
                <w:right w:val="none" w:sz="0" w:space="0" w:color="auto"/>
              </w:divBdr>
              <w:divsChild>
                <w:div w:id="1524709327">
                  <w:marLeft w:val="150"/>
                  <w:marRight w:val="0"/>
                  <w:marTop w:val="0"/>
                  <w:marBottom w:val="0"/>
                  <w:divBdr>
                    <w:top w:val="none" w:sz="0" w:space="0" w:color="auto"/>
                    <w:left w:val="none" w:sz="0" w:space="0" w:color="auto"/>
                    <w:bottom w:val="none" w:sz="0" w:space="0" w:color="auto"/>
                    <w:right w:val="none" w:sz="0" w:space="0" w:color="auto"/>
                  </w:divBdr>
                </w:div>
                <w:div w:id="492306477">
                  <w:marLeft w:val="0"/>
                  <w:marRight w:val="0"/>
                  <w:marTop w:val="0"/>
                  <w:marBottom w:val="0"/>
                  <w:divBdr>
                    <w:top w:val="none" w:sz="0" w:space="0" w:color="auto"/>
                    <w:left w:val="none" w:sz="0" w:space="0" w:color="auto"/>
                    <w:bottom w:val="none" w:sz="0" w:space="0" w:color="auto"/>
                    <w:right w:val="none" w:sz="0" w:space="0" w:color="auto"/>
                  </w:divBdr>
                  <w:divsChild>
                    <w:div w:id="715350057">
                      <w:marLeft w:val="0"/>
                      <w:marRight w:val="0"/>
                      <w:marTop w:val="150"/>
                      <w:marBottom w:val="150"/>
                      <w:divBdr>
                        <w:top w:val="none" w:sz="0" w:space="0" w:color="auto"/>
                        <w:left w:val="none" w:sz="0" w:space="0" w:color="auto"/>
                        <w:bottom w:val="none" w:sz="0" w:space="0" w:color="auto"/>
                        <w:right w:val="none" w:sz="0" w:space="0" w:color="auto"/>
                      </w:divBdr>
                    </w:div>
                  </w:divsChild>
                </w:div>
                <w:div w:id="3606723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30392712">
          <w:marLeft w:val="0"/>
          <w:marRight w:val="0"/>
          <w:marTop w:val="600"/>
          <w:marBottom w:val="0"/>
          <w:divBdr>
            <w:top w:val="none" w:sz="0" w:space="0" w:color="auto"/>
            <w:left w:val="none" w:sz="0" w:space="0" w:color="auto"/>
            <w:bottom w:val="none" w:sz="0" w:space="0" w:color="auto"/>
            <w:right w:val="none" w:sz="0" w:space="0" w:color="auto"/>
          </w:divBdr>
          <w:divsChild>
            <w:div w:id="1381133344">
              <w:marLeft w:val="0"/>
              <w:marRight w:val="0"/>
              <w:marTop w:val="450"/>
              <w:marBottom w:val="0"/>
              <w:divBdr>
                <w:top w:val="none" w:sz="0" w:space="0" w:color="auto"/>
                <w:left w:val="none" w:sz="0" w:space="0" w:color="auto"/>
                <w:bottom w:val="none" w:sz="0" w:space="0" w:color="auto"/>
                <w:right w:val="none" w:sz="0" w:space="0" w:color="auto"/>
              </w:divBdr>
            </w:div>
            <w:div w:id="263539423">
              <w:marLeft w:val="0"/>
              <w:marRight w:val="0"/>
              <w:marTop w:val="450"/>
              <w:marBottom w:val="0"/>
              <w:divBdr>
                <w:top w:val="none" w:sz="0" w:space="0" w:color="auto"/>
                <w:left w:val="none" w:sz="0" w:space="0" w:color="auto"/>
                <w:bottom w:val="none" w:sz="0" w:space="0" w:color="auto"/>
                <w:right w:val="none" w:sz="0" w:space="0" w:color="auto"/>
              </w:divBdr>
              <w:divsChild>
                <w:div w:id="1951626335">
                  <w:marLeft w:val="150"/>
                  <w:marRight w:val="0"/>
                  <w:marTop w:val="0"/>
                  <w:marBottom w:val="0"/>
                  <w:divBdr>
                    <w:top w:val="none" w:sz="0" w:space="0" w:color="auto"/>
                    <w:left w:val="none" w:sz="0" w:space="0" w:color="auto"/>
                    <w:bottom w:val="none" w:sz="0" w:space="0" w:color="auto"/>
                    <w:right w:val="none" w:sz="0" w:space="0" w:color="auto"/>
                  </w:divBdr>
                </w:div>
              </w:divsChild>
            </w:div>
            <w:div w:id="180862527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writethedocs.org/guide/docs-as-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3279</Words>
  <Characters>18037</Characters>
  <Application>Microsoft Office Word</Application>
  <DocSecurity>0</DocSecurity>
  <Lines>150</Lines>
  <Paragraphs>42</Paragraphs>
  <ScaleCrop>false</ScaleCrop>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2025-04-22T10:41:00Z</dcterms:created>
  <dcterms:modified xsi:type="dcterms:W3CDTF">2025-04-22T10:42:00Z</dcterms:modified>
</cp:coreProperties>
</file>