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9BCD" w14:textId="77777777" w:rsidR="007803BF" w:rsidRPr="007803BF" w:rsidRDefault="007803BF" w:rsidP="007803BF">
      <w:r w:rsidRPr="007803BF">
        <w:t>Une culture de la communication plutôt que du contrat</w:t>
      </w:r>
    </w:p>
    <w:p w14:paraId="5A1A0221" w14:textId="77777777" w:rsidR="007803BF" w:rsidRPr="007803BF" w:rsidRDefault="007803BF" w:rsidP="007803BF">
      <w:r w:rsidRPr="007803BF">
        <w:t>1. Les règles du contrat</w:t>
      </w:r>
    </w:p>
    <w:p w14:paraId="32D09317" w14:textId="77777777" w:rsidR="007803BF" w:rsidRPr="007803BF" w:rsidRDefault="007803BF" w:rsidP="007803BF">
      <w:r w:rsidRPr="007803BF">
        <w:t>Dans une organisation classique, il y a deux types de contrats :</w:t>
      </w:r>
    </w:p>
    <w:p w14:paraId="06A7B0CD" w14:textId="77777777" w:rsidR="007803BF" w:rsidRPr="007803BF" w:rsidRDefault="007803BF" w:rsidP="007803BF">
      <w:pPr>
        <w:numPr>
          <w:ilvl w:val="0"/>
          <w:numId w:val="1"/>
        </w:numPr>
      </w:pPr>
      <w:r w:rsidRPr="007803BF">
        <w:t>Ceux qui régissent les interactions d’un service avec les autres services, ou avec les autres entités juridiques du groupe. Dans ce cas, les contrats internes sont en général codifiés et standardisés au travers de référentiels méthodologiques tels qu’ITIL.</w:t>
      </w:r>
    </w:p>
    <w:p w14:paraId="6A365AF9" w14:textId="77777777" w:rsidR="007803BF" w:rsidRPr="007803BF" w:rsidRDefault="007803BF" w:rsidP="007803BF">
      <w:r w:rsidRPr="007803BF">
        <w:t>Ces contrats de service internes constituent les murs des silos. Ils construisent des barrières entre les équipes et cimentent le mur de la confusion. Afin de répondre à ses engagements de contrat, chaque service se retranche derrière les règles écrites, ce qui l’amène à optimiser son efficacité au niveau local sans mesurer les conséquences au niveau global. Cela conduira à des frictions et des oppositions comme évoqué dans le chapitre Le mur de la confusion à la section traitant de l’isolement des silos. Les organisations DevOps doivent par nature favoriser la fluidité des interactions et avoir des approches intégrées et transversales pour les équipes produit. Pour cela, elles doivent repenser leur organisation. Ce point sera abordé dans un prochain chapitre.</w:t>
      </w:r>
    </w:p>
    <w:p w14:paraId="424CECA1" w14:textId="77777777" w:rsidR="007803BF" w:rsidRPr="007803BF" w:rsidRDefault="007803BF" w:rsidP="007803BF">
      <w:pPr>
        <w:numPr>
          <w:ilvl w:val="0"/>
          <w:numId w:val="2"/>
        </w:numPr>
      </w:pPr>
      <w:r w:rsidRPr="007803BF">
        <w:t>Ceux qui régissent, de l’échelle d’un service à l’échelle d’une organisation entière, les interactions avec les intervenants extérieurs tels que les prestataires de services, les vendeurs de logiciels, les fournisseurs de matériels, auditeurs, etc.</w:t>
      </w:r>
    </w:p>
    <w:p w14:paraId="1C1EC517" w14:textId="77777777" w:rsidR="007803BF" w:rsidRPr="007803BF" w:rsidRDefault="007803BF" w:rsidP="007803BF">
      <w:r w:rsidRPr="007803BF">
        <w:t>Un contrat client-fournisseur est caractérisé par des éléments structurants qui définissent le niveau de relation entre les parties. Leur structure minimale se construit généralement autour des éléments suivants :</w:t>
      </w:r>
    </w:p>
    <w:p w14:paraId="637BCCB5" w14:textId="77777777" w:rsidR="007803BF" w:rsidRPr="007803BF" w:rsidRDefault="007803BF" w:rsidP="007803BF">
      <w:pPr>
        <w:numPr>
          <w:ilvl w:val="0"/>
          <w:numId w:val="3"/>
        </w:numPr>
      </w:pPr>
      <w:r w:rsidRPr="007803BF">
        <w:t>La description des services et les biens que les entités se doivent mutuellement.</w:t>
      </w:r>
    </w:p>
    <w:p w14:paraId="1F69354A" w14:textId="77777777" w:rsidR="007803BF" w:rsidRPr="007803BF" w:rsidRDefault="007803BF" w:rsidP="007803BF">
      <w:pPr>
        <w:numPr>
          <w:ilvl w:val="0"/>
          <w:numId w:val="3"/>
        </w:numPr>
      </w:pPr>
      <w:r w:rsidRPr="007803BF">
        <w:t>Les règles qualitatives qui déterminent l’acceptabilité de ces services et biens, y compris les moyens de mesurer la qualité rendue.</w:t>
      </w:r>
    </w:p>
    <w:p w14:paraId="222E2330" w14:textId="77777777" w:rsidR="007803BF" w:rsidRPr="007803BF" w:rsidRDefault="007803BF" w:rsidP="007803BF">
      <w:pPr>
        <w:numPr>
          <w:ilvl w:val="0"/>
          <w:numId w:val="3"/>
        </w:numPr>
      </w:pPr>
      <w:r w:rsidRPr="007803BF">
        <w:t>Les éléments de coûts et de délais pour les services et biens qui sont dus l’un à l’autre.</w:t>
      </w:r>
    </w:p>
    <w:p w14:paraId="5F08B0F7" w14:textId="77777777" w:rsidR="007803BF" w:rsidRPr="007803BF" w:rsidRDefault="007803BF" w:rsidP="007803BF">
      <w:pPr>
        <w:numPr>
          <w:ilvl w:val="0"/>
          <w:numId w:val="3"/>
        </w:numPr>
      </w:pPr>
      <w:r w:rsidRPr="007803BF">
        <w:t>Les systèmes de pénalités en cas de défaillance d’une des parties.</w:t>
      </w:r>
    </w:p>
    <w:p w14:paraId="6B79ED56" w14:textId="77777777" w:rsidR="007803BF" w:rsidRPr="007803BF" w:rsidRDefault="007803BF" w:rsidP="007803BF">
      <w:pPr>
        <w:numPr>
          <w:ilvl w:val="0"/>
          <w:numId w:val="3"/>
        </w:numPr>
      </w:pPr>
      <w:r w:rsidRPr="007803BF">
        <w:t>Les règles d’interaction et de gouvernance permettant aux deux entités de communiquer et de transmettre les informations nécessaires pour remplir le contrat.</w:t>
      </w:r>
    </w:p>
    <w:p w14:paraId="3F92F4E1" w14:textId="77777777" w:rsidR="007803BF" w:rsidRPr="007803BF" w:rsidRDefault="007803BF" w:rsidP="007803BF">
      <w:r w:rsidRPr="007803BF">
        <w:t xml:space="preserve">Sur ce dernier point, il est important de noter que, généralement, les règles d’interaction prennent en compte à la fois le besoin de communiquer le quoi et le comment, mais aussi la nécessité de ne pas venir perturber l’autre partie en sollicitations excessives, </w:t>
      </w:r>
      <w:r w:rsidRPr="007803BF">
        <w:lastRenderedPageBreak/>
        <w:t>sous peine de facturation additionnelle. C’est par exemple le cas lorsqu’une entreprise sous-traite la maintenance d’une application. Si elle sollicite le sous-traitant pour des questions, des informations, ou toute autre demande d’aide ou d’assistance, celle-ci sera facturée en plus du service dû au contrat.</w:t>
      </w:r>
    </w:p>
    <w:p w14:paraId="03C9204D" w14:textId="77777777" w:rsidR="007803BF" w:rsidRPr="007803BF" w:rsidRDefault="007803BF" w:rsidP="007803BF">
      <w:r w:rsidRPr="007803BF">
        <w:t>2. L’impact du contrat dans le monde agile</w:t>
      </w:r>
    </w:p>
    <w:p w14:paraId="55E8E52A" w14:textId="77777777" w:rsidR="007803BF" w:rsidRPr="007803BF" w:rsidRDefault="007803BF" w:rsidP="007803BF">
      <w:r w:rsidRPr="007803BF">
        <w:t>L’une des quatre valeurs du manifeste agile concerne le contrat : "Valoriser la collaboration avec les clients, de préférence aux négociations contractuelles". Cette valeur se place du côté fournisseur pour apporter une autre vision de la relation avec le client. Elle se décline dans le principe agile "Notre principale priorité est de satisfaire le client en livrant rapidement et régulièrement des solutions qui apportent de la valeur".</w:t>
      </w:r>
    </w:p>
    <w:p w14:paraId="62AC6920" w14:textId="77777777" w:rsidR="007803BF" w:rsidRPr="007803BF" w:rsidRDefault="007803BF" w:rsidP="007803BF">
      <w:r w:rsidRPr="007803BF">
        <w:t>Du point de vue du client, l’importance donnée à cette relation tient au fait qu’un fournisseur attaché à un contrat d’engagement fort constituera de facto un silo extérieur à l’entreprise. Dans une organisation DevOps, il est nécessaire d’avoir une interaction fluide entre toutes les parties prenantes, et les fournisseurs en constituent souvent une part importante !</w:t>
      </w:r>
    </w:p>
    <w:p w14:paraId="0B49EDE9" w14:textId="77777777" w:rsidR="007803BF" w:rsidRPr="007803BF" w:rsidRDefault="007803BF" w:rsidP="007803BF">
      <w:r w:rsidRPr="007803BF">
        <w:t>Si toute l’entreprise fluidifie ses interactions internes, mais que le principal acteur de développement ou de production est encerclé d’une barrière contractuelle, alors il devient impossible et même inutile de mettre en place une démarche qui favorise le déploiement continu, les boucles de feedback et l’acceptation des changements fonctionnels qui l’accompagnent. Automatiser les déploiements et la construction des environnements ne changera rien au problème.</w:t>
      </w:r>
    </w:p>
    <w:p w14:paraId="2E38ABBC" w14:textId="77777777" w:rsidR="007803BF" w:rsidRPr="007803BF" w:rsidRDefault="007803BF" w:rsidP="007803BF">
      <w:r w:rsidRPr="007803BF">
        <w:t>Pour autant, on ne peut pas se défaire du besoin d’un contrat avec un fournisseur, car il est nécessaire d’établir des règles commerciales, simplement au regard de la loi. Mais il est important de bien définir les engagements, les règles de gouvernance et les modes d’interaction. Plus l’engagement du prestataire sera fort, plus le contrat imposera une gouvernance basée sur des instances formelles et fermées afin de cerner au plus près les responsabilités et le respect strict des engagements. Selon les valeurs agiles, c’est évidemment l’inverse que l’on cherche à faire.</w:t>
      </w:r>
    </w:p>
    <w:p w14:paraId="4F210597" w14:textId="77777777" w:rsidR="007803BF" w:rsidRPr="007803BF" w:rsidRDefault="007803BF" w:rsidP="007803BF">
      <w:r w:rsidRPr="007803BF">
        <w:t>La contractualisation au forfait</w:t>
      </w:r>
    </w:p>
    <w:p w14:paraId="40E057D5" w14:textId="77777777" w:rsidR="007803BF" w:rsidRPr="007803BF" w:rsidRDefault="007803BF" w:rsidP="007803BF">
      <w:r w:rsidRPr="007803BF">
        <w:t>Une première approche traditionnelle définissant un engagement est celle du forfait. Un contrat au forfait engage un fournisseur sur des paramètres fixes : le périmètre, le coût et le délai. Comme ces paramètres sont fixes, il est nécessaire de définir la solution à l’avance et de faire des hypothèses structurantes très tôt, avant même la contractualisation. La rigidité de ce contrat est donc par définition un anti-pattern agile.</w:t>
      </w:r>
    </w:p>
    <w:p w14:paraId="79966862" w14:textId="77777777" w:rsidR="007803BF" w:rsidRPr="007803BF" w:rsidRDefault="007803BF" w:rsidP="007803BF">
      <w:r w:rsidRPr="007803BF">
        <w:t>Par ailleurs dans ce triangle (Périmètre, Coût, Délai), deux intérêts s’opposent :</w:t>
      </w:r>
    </w:p>
    <w:p w14:paraId="1A2F67EC" w14:textId="77777777" w:rsidR="007803BF" w:rsidRPr="007803BF" w:rsidRDefault="007803BF" w:rsidP="007803BF">
      <w:pPr>
        <w:numPr>
          <w:ilvl w:val="0"/>
          <w:numId w:val="4"/>
        </w:numPr>
      </w:pPr>
      <w:proofErr w:type="gramStart"/>
      <w:r w:rsidRPr="007803BF">
        <w:t>l’acheteur</w:t>
      </w:r>
      <w:proofErr w:type="gramEnd"/>
      <w:r w:rsidRPr="007803BF">
        <w:t xml:space="preserve"> cherchera à rationaliser le budget en minimisant le coût,</w:t>
      </w:r>
    </w:p>
    <w:p w14:paraId="27B28700" w14:textId="77777777" w:rsidR="007803BF" w:rsidRPr="007803BF" w:rsidRDefault="007803BF" w:rsidP="007803BF">
      <w:pPr>
        <w:numPr>
          <w:ilvl w:val="0"/>
          <w:numId w:val="4"/>
        </w:numPr>
      </w:pPr>
      <w:proofErr w:type="gramStart"/>
      <w:r w:rsidRPr="007803BF">
        <w:lastRenderedPageBreak/>
        <w:t>le</w:t>
      </w:r>
      <w:proofErr w:type="gramEnd"/>
      <w:r w:rsidRPr="007803BF">
        <w:t xml:space="preserve"> fournisseur cherchera à rationaliser la marge en minimisant le périmètre.</w:t>
      </w:r>
    </w:p>
    <w:p w14:paraId="06F1E2AB" w14:textId="77777777" w:rsidR="007803BF" w:rsidRPr="007803BF" w:rsidRDefault="007803BF" w:rsidP="007803BF">
      <w:r w:rsidRPr="007803BF">
        <w:t>Cette opposition des intérêts conduit à un contrat "gagnant-perdant", où l’une des parties atteindra son objectif au détriment de l’autre. Malheureusement, il n’est pas non plus rare que cela se termine par un "perdant-perdant", où le client n’est pas entièrement satisfait du produit bien qu’il corresponde au périmètre défini, et le fournisseur n’est pas satisfait par la marge apportée, ayant dû négocier l’interprétation du contenu de certaines fonctionnalités.</w:t>
      </w:r>
    </w:p>
    <w:p w14:paraId="08918188" w14:textId="4AD11377" w:rsidR="007803BF" w:rsidRPr="007803BF" w:rsidRDefault="007803BF" w:rsidP="007803BF">
      <w:r w:rsidRPr="007803BF">
        <w:drawing>
          <wp:inline distT="0" distB="0" distL="0" distR="0" wp14:anchorId="666D8544" wp14:editId="6C346686">
            <wp:extent cx="2581275" cy="2200275"/>
            <wp:effectExtent l="0" t="0" r="0" b="0"/>
            <wp:docPr id="1597364288" name="Image 4" descr="Une image contenant tri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64288" name="Image 4" descr="Une image contenant triangl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2200275"/>
                    </a:xfrm>
                    <a:prstGeom prst="rect">
                      <a:avLst/>
                    </a:prstGeom>
                    <a:noFill/>
                    <a:ln>
                      <a:noFill/>
                    </a:ln>
                  </pic:spPr>
                </pic:pic>
              </a:graphicData>
            </a:graphic>
          </wp:inline>
        </w:drawing>
      </w:r>
    </w:p>
    <w:p w14:paraId="5122F5DA" w14:textId="77777777" w:rsidR="007803BF" w:rsidRPr="007803BF" w:rsidRDefault="007803BF" w:rsidP="007803BF">
      <w:r w:rsidRPr="007803BF">
        <w:t>Par ailleurs, un paramètre qui n’est pas visible dans ce triangle mais qui servira souvent de variable d’ajustement est la qualité. Tout dispositif rigide possède un point de rupture. Pour les contrats au forfait, ce point est la qualité. Même en mettant en place des outils de mesure de la qualité, ceux-ci ne répondent qu’à des critères standards. Ils ne peuvent mesurer ni la pertinence des architectures choisies, ni l’adéquation à l’état de l’art, ni leur pérennité. Devant une situation tendue où la marge financière est en jeu, le fournisseur sera tenté de choisir des raccourcis et la solution la moins onéreuse en coûts de fabrication.</w:t>
      </w:r>
    </w:p>
    <w:p w14:paraId="453E95EB" w14:textId="77777777" w:rsidR="007803BF" w:rsidRPr="007803BF" w:rsidRDefault="007803BF" w:rsidP="007803BF">
      <w:r w:rsidRPr="007803BF">
        <w:t>Pour le fournisseur, il est clair que ce type de contrat pourra facilement éroder, voire anéantir la relation avec le client. Il peut y avoir un bénéfice à court terme, mais qui s’accompagnera d’une perte de confiance, de notoriété et d’opportunité de business sur un plus long terme.</w:t>
      </w:r>
    </w:p>
    <w:p w14:paraId="0D0A3D87" w14:textId="77777777" w:rsidR="007803BF" w:rsidRPr="007803BF" w:rsidRDefault="007803BF" w:rsidP="007803BF">
      <w:r w:rsidRPr="007803BF">
        <w:t xml:space="preserve">Ce type de contrat est courant pour les développements de nouvelles applications, mais aussi pour les contrats d’infogérance d’exploitation. Il n’est pas rare qu’en contrepartie d’un coût convenu à l’avance pour une certaine configuration système mise en place, il soit également convenu de délais fixes à réception du livrable. Là encore, il faut prévoir à quel moment sera livrée l’intégralité de l’application dans un plan construit à l’avance, tout en respectant des hypothèses techniques d’architecture et de dimensionnement prises dès le début du projet. Le cas </w:t>
      </w:r>
      <w:proofErr w:type="spellStart"/>
      <w:r w:rsidRPr="007803BF">
        <w:t>Cotradis</w:t>
      </w:r>
      <w:proofErr w:type="spellEnd"/>
      <w:r w:rsidRPr="007803BF">
        <w:t xml:space="preserve"> du chapitre Le mur de la confusion exprime ce problème.</w:t>
      </w:r>
    </w:p>
    <w:p w14:paraId="5CE71FC2" w14:textId="77777777" w:rsidR="007803BF" w:rsidRPr="007803BF" w:rsidRDefault="007803BF" w:rsidP="007803BF">
      <w:r w:rsidRPr="007803BF">
        <w:t>La contractualisation en régie</w:t>
      </w:r>
    </w:p>
    <w:p w14:paraId="29BA4CC4" w14:textId="77777777" w:rsidR="007803BF" w:rsidRPr="007803BF" w:rsidRDefault="007803BF" w:rsidP="007803BF">
      <w:r w:rsidRPr="007803BF">
        <w:lastRenderedPageBreak/>
        <w:t>L’inverse du contrat au forfait consiste très simplement à déléguer auprès du client des ressources techniques disposant de la compétence recherchée. Évidemment cela peut sembler beaucoup plus agile et beaucoup plus facile car les équipes du fournisseur sont entièrement embarquées avec les équipes du client et n’ont aucun frein à respecter les méthodes mises en place.</w:t>
      </w:r>
    </w:p>
    <w:p w14:paraId="6B1FB545" w14:textId="77777777" w:rsidR="007803BF" w:rsidRPr="007803BF" w:rsidRDefault="007803BF" w:rsidP="007803BF">
      <w:r w:rsidRPr="007803BF">
        <w:t>Pour autant, cela pose un problème assez évident pour l’acheteur qui n’a pas de levier effectif pour mesurer la performance du fournisseur. Ce contrat repose sur la confiance, ce qui est une valeur positive mais qui induit également le questionnement sur l’efficience des ressources mises en place.</w:t>
      </w:r>
    </w:p>
    <w:p w14:paraId="3A7A0F81" w14:textId="77777777" w:rsidR="007803BF" w:rsidRPr="007803BF" w:rsidRDefault="007803BF" w:rsidP="007803BF">
      <w:r w:rsidRPr="007803BF">
        <w:t>Du côté du fournisseur, il y a un intérêt évident pour que la prestation continue le plus longtemps possible.</w:t>
      </w:r>
    </w:p>
    <w:p w14:paraId="77B19004" w14:textId="77777777" w:rsidR="007803BF" w:rsidRPr="007803BF" w:rsidRDefault="007803BF" w:rsidP="007803BF">
      <w:r w:rsidRPr="007803BF">
        <w:t>Dès lors, comment évaluer le résultat de la prestation ? À quel moment peut-on dire que la valeur attendue par le client a été apportée et est suffisante ? Dans bien des organisations, cette question se résume à sécuriser le budget de l’année suivante pour s’assurer de la disponibilité des ressources en place. Cela n’est guère satisfaisant du simple point de vue de l’efficience des équipes. Les moyens alloués au budget pour une équipe qui n’apporte plus assez de valeur pourraient être utilisés pour répondre à d’autres besoins à plus forte valeur ajoutée.</w:t>
      </w:r>
    </w:p>
    <w:p w14:paraId="71EEE695" w14:textId="77777777" w:rsidR="007803BF" w:rsidRPr="007803BF" w:rsidRDefault="007803BF" w:rsidP="007803BF">
      <w:r w:rsidRPr="007803BF">
        <w:t>L’approche contractuelle avec un fournisseur est donc un point souvent déterminant dans la capacité d’une organisation à mettre en place des pratiques agiles et DevOps. Il est essentiel que le contrat reflète cette culture et privilégie des principes essentiels de ces pratiques :</w:t>
      </w:r>
    </w:p>
    <w:p w14:paraId="7510C927" w14:textId="77777777" w:rsidR="007803BF" w:rsidRPr="007803BF" w:rsidRDefault="007803BF" w:rsidP="007803BF">
      <w:pPr>
        <w:numPr>
          <w:ilvl w:val="0"/>
          <w:numId w:val="5"/>
        </w:numPr>
      </w:pPr>
      <w:r w:rsidRPr="007803BF">
        <w:t>Les moyens d’entretenir une communication fluide.</w:t>
      </w:r>
    </w:p>
    <w:p w14:paraId="2001D415" w14:textId="77777777" w:rsidR="007803BF" w:rsidRPr="007803BF" w:rsidRDefault="007803BF" w:rsidP="007803BF">
      <w:pPr>
        <w:numPr>
          <w:ilvl w:val="0"/>
          <w:numId w:val="5"/>
        </w:numPr>
      </w:pPr>
      <w:r w:rsidRPr="007803BF">
        <w:t>L’ouverture aux changements, sans frictions.</w:t>
      </w:r>
    </w:p>
    <w:p w14:paraId="0131E74D" w14:textId="77777777" w:rsidR="007803BF" w:rsidRPr="007803BF" w:rsidRDefault="007803BF" w:rsidP="007803BF">
      <w:pPr>
        <w:numPr>
          <w:ilvl w:val="0"/>
          <w:numId w:val="5"/>
        </w:numPr>
      </w:pPr>
      <w:r w:rsidRPr="007803BF">
        <w:t>Une gouvernance intégrée aux instances agiles mises en place.</w:t>
      </w:r>
    </w:p>
    <w:p w14:paraId="728314E4" w14:textId="77777777" w:rsidR="007803BF" w:rsidRPr="007803BF" w:rsidRDefault="007803BF" w:rsidP="007803BF">
      <w:pPr>
        <w:numPr>
          <w:ilvl w:val="0"/>
          <w:numId w:val="5"/>
        </w:numPr>
      </w:pPr>
      <w:r w:rsidRPr="007803BF">
        <w:t>Un regard transparent et sincère sur la valeur apportée par le fournisseur.</w:t>
      </w:r>
    </w:p>
    <w:p w14:paraId="29C55735" w14:textId="77777777" w:rsidR="007803BF" w:rsidRPr="007803BF" w:rsidRDefault="007803BF" w:rsidP="007803BF">
      <w:r w:rsidRPr="007803BF">
        <w:t>3. Comment faire évoluer la gestion des contrats fournisseurs dans une organisation DevOps</w:t>
      </w:r>
    </w:p>
    <w:p w14:paraId="12AF4C52" w14:textId="77777777" w:rsidR="007803BF" w:rsidRPr="007803BF" w:rsidRDefault="007803BF" w:rsidP="007803BF">
      <w:pPr>
        <w:rPr>
          <w:b/>
          <w:bCs/>
        </w:rPr>
      </w:pPr>
      <w:r w:rsidRPr="007803BF">
        <w:rPr>
          <w:b/>
          <w:bCs/>
        </w:rPr>
        <w:t>a. La valeur au centre du contrat agile</w:t>
      </w:r>
    </w:p>
    <w:p w14:paraId="6A0FA4E0" w14:textId="77777777" w:rsidR="007803BF" w:rsidRPr="007803BF" w:rsidRDefault="007803BF" w:rsidP="007803BF">
      <w:r w:rsidRPr="007803BF">
        <w:t>À l’inverse du forfait classique, le contrat agile intègre dans sa conception le périmètre en tant que variable d’ajustement. En réalité, il faut transformer la notion de périmètre en notion de valeur. Cela consiste à donner une quantité de points à la valeur estimée initialement dans une phase d’évaluation.</w:t>
      </w:r>
    </w:p>
    <w:p w14:paraId="75352354" w14:textId="303E7FD4" w:rsidR="007803BF" w:rsidRPr="007803BF" w:rsidRDefault="007803BF" w:rsidP="007803BF">
      <w:r w:rsidRPr="007803BF">
        <w:lastRenderedPageBreak/>
        <w:drawing>
          <wp:inline distT="0" distB="0" distL="0" distR="0" wp14:anchorId="129E7E76" wp14:editId="314E1FA9">
            <wp:extent cx="4391025" cy="1914525"/>
            <wp:effectExtent l="0" t="0" r="9525" b="9525"/>
            <wp:docPr id="820776083" name="Image 3" descr="Une image contenant texte, carte de visite, capture d’écran,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76083" name="Image 3" descr="Une image contenant texte, carte de visite, capture d’écran, écriture manuscrit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12993452" w14:textId="77777777" w:rsidR="007803BF" w:rsidRPr="007803BF" w:rsidRDefault="007803BF" w:rsidP="007803BF">
      <w:r w:rsidRPr="007803BF">
        <w:t>Cette transformation passe par plusieurs étapes :</w:t>
      </w:r>
    </w:p>
    <w:p w14:paraId="1A78E95C" w14:textId="77777777" w:rsidR="007803BF" w:rsidRPr="007803BF" w:rsidRDefault="007803BF" w:rsidP="007803BF">
      <w:pPr>
        <w:numPr>
          <w:ilvl w:val="0"/>
          <w:numId w:val="6"/>
        </w:numPr>
      </w:pPr>
      <w:r w:rsidRPr="007803BF">
        <w:t>Expliciter une vision conjointe de la cible.</w:t>
      </w:r>
    </w:p>
    <w:p w14:paraId="2B9D3169" w14:textId="77777777" w:rsidR="007803BF" w:rsidRPr="007803BF" w:rsidRDefault="007803BF" w:rsidP="007803BF">
      <w:pPr>
        <w:numPr>
          <w:ilvl w:val="0"/>
          <w:numId w:val="6"/>
        </w:numPr>
      </w:pPr>
      <w:r w:rsidRPr="007803BF">
        <w:t>Lister les fonctionnalités à un niveau de granularité où l’on peut considérer que la fonctionnalité se suffit à elle-même. Par exemple, une fonction de recherche de commandes est une fonctionnalité de niveau intéressant pour l’abstraction recherchée.</w:t>
      </w:r>
    </w:p>
    <w:p w14:paraId="487D4B75" w14:textId="77777777" w:rsidR="007803BF" w:rsidRPr="007803BF" w:rsidRDefault="007803BF" w:rsidP="007803BF">
      <w:pPr>
        <w:numPr>
          <w:ilvl w:val="0"/>
          <w:numId w:val="6"/>
        </w:numPr>
      </w:pPr>
      <w:r w:rsidRPr="007803BF">
        <w:t>Estimer les fonctionnalités en story points, un nombre arbitraire de points qui définit l’effort nécessaire à la réalisation d’une fonctionnalité. Généralement on utilise la suite de Fibonacci comme échelle de notation.</w:t>
      </w:r>
    </w:p>
    <w:p w14:paraId="09C497D5" w14:textId="77777777" w:rsidR="007803BF" w:rsidRPr="007803BF" w:rsidRDefault="007803BF" w:rsidP="007803BF">
      <w:pPr>
        <w:numPr>
          <w:ilvl w:val="0"/>
          <w:numId w:val="6"/>
        </w:numPr>
      </w:pPr>
      <w:r w:rsidRPr="007803BF">
        <w:t>S’accorder sur un pourcentage d’approximation de cette valeur. Par exemple, estimer que le nombre de story points évalués est correct avec une approximation de plus ou moins 20 %. Ce nombre peut varier.</w:t>
      </w:r>
    </w:p>
    <w:p w14:paraId="56016F10" w14:textId="77777777" w:rsidR="007803BF" w:rsidRPr="007803BF" w:rsidRDefault="007803BF" w:rsidP="007803BF">
      <w:pPr>
        <w:numPr>
          <w:ilvl w:val="0"/>
          <w:numId w:val="6"/>
        </w:numPr>
      </w:pPr>
      <w:r w:rsidRPr="007803BF">
        <w:t>Estimer le nombre de story points pouvant être produits dans un sprint ainsi que le dispositif nécessaire pour le réaliser. Cette estimation sera l’hypothèse de départ.</w:t>
      </w:r>
    </w:p>
    <w:p w14:paraId="100EAADB" w14:textId="77777777" w:rsidR="007803BF" w:rsidRPr="007803BF" w:rsidRDefault="007803BF" w:rsidP="007803BF">
      <w:pPr>
        <w:numPr>
          <w:ilvl w:val="0"/>
          <w:numId w:val="6"/>
        </w:numPr>
      </w:pPr>
      <w:r w:rsidRPr="007803BF">
        <w:t>Déduire le délai nécessaire pour produire l’ensemble des points. Ce délai sera également une hypothèse de départ.</w:t>
      </w:r>
    </w:p>
    <w:p w14:paraId="1DBD5892" w14:textId="77777777" w:rsidR="007803BF" w:rsidRPr="007803BF" w:rsidRDefault="007803BF" w:rsidP="007803BF">
      <w:r w:rsidRPr="007803BF">
        <w:t>L’engagement de départ sera de produire un nombre de story points pour une durée et un coût donné. Ces points constituent un équivalent de valeur et non une liste de fonctionnalités déterminée à l’avance avec une architecture technique et applicative figée. En conséquence, les fonctionnalités produites à l’arrivée peuvent ne pas correspondre aux fonctionnalités envisagées au départ. La fonction de transformation n’est pas réciproque.</w:t>
      </w:r>
    </w:p>
    <w:p w14:paraId="03FB97AF" w14:textId="71494AFE" w:rsidR="007803BF" w:rsidRPr="007803BF" w:rsidRDefault="007803BF" w:rsidP="007803BF">
      <w:r w:rsidRPr="007803BF">
        <w:lastRenderedPageBreak/>
        <w:drawing>
          <wp:inline distT="0" distB="0" distL="0" distR="0" wp14:anchorId="656638E6" wp14:editId="1D216F56">
            <wp:extent cx="4391025" cy="1914525"/>
            <wp:effectExtent l="0" t="0" r="9525" b="9525"/>
            <wp:docPr id="1138356361" name="Image 2" descr="Une image contenant texte, carte de visi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56361" name="Image 2" descr="Une image contenant texte, carte de visite, Police, capture d’écra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65F6C25A" w14:textId="77777777" w:rsidR="007803BF" w:rsidRPr="007803BF" w:rsidRDefault="007803BF" w:rsidP="007803BF">
      <w:r w:rsidRPr="007803BF">
        <w:t>Mais cette évaluation est pour l’instant trop floue pour constituer un engagement ferme et solide pour chaque partie.</w:t>
      </w:r>
    </w:p>
    <w:p w14:paraId="468AF639" w14:textId="77777777" w:rsidR="007803BF" w:rsidRPr="007803BF" w:rsidRDefault="007803BF" w:rsidP="007803BF">
      <w:r w:rsidRPr="007803BF">
        <w:t xml:space="preserve">Elle va être mise à l’épreuve, d’abord dans un sprint 0 servant à préparer la </w:t>
      </w:r>
      <w:proofErr w:type="spellStart"/>
      <w:r w:rsidRPr="007803BF">
        <w:t>backlog</w:t>
      </w:r>
      <w:proofErr w:type="spellEnd"/>
      <w:r w:rsidRPr="007803BF">
        <w:t xml:space="preserve"> et les environnements. Puis par un certain nombre de sprints d’essai qui vont permettre d’établir une vélocité de référence (nombre de points produits pendant un sprint), ainsi que le dimensionnement de l’équipe nécessaire.</w:t>
      </w:r>
    </w:p>
    <w:p w14:paraId="5C14C864" w14:textId="77777777" w:rsidR="007803BF" w:rsidRPr="007803BF" w:rsidRDefault="007803BF" w:rsidP="007803BF">
      <w:r w:rsidRPr="007803BF">
        <w:t>Cette phase débouchera sur l’ajustement ou la validation des hypothèses prises lors de l’évaluation sur les éléments suivants :</w:t>
      </w:r>
    </w:p>
    <w:p w14:paraId="24587C72" w14:textId="77777777" w:rsidR="007803BF" w:rsidRPr="007803BF" w:rsidRDefault="007803BF" w:rsidP="007803BF">
      <w:pPr>
        <w:numPr>
          <w:ilvl w:val="0"/>
          <w:numId w:val="7"/>
        </w:numPr>
      </w:pPr>
      <w:r w:rsidRPr="007803BF">
        <w:t xml:space="preserve">Le nombre final de points à produire et la réévaluation de la </w:t>
      </w:r>
      <w:proofErr w:type="spellStart"/>
      <w:r w:rsidRPr="007803BF">
        <w:t>backlog</w:t>
      </w:r>
      <w:proofErr w:type="spellEnd"/>
      <w:r w:rsidRPr="007803BF">
        <w:t xml:space="preserve"> connue à date.</w:t>
      </w:r>
    </w:p>
    <w:p w14:paraId="71AAEC44" w14:textId="77777777" w:rsidR="007803BF" w:rsidRPr="007803BF" w:rsidRDefault="007803BF" w:rsidP="007803BF">
      <w:pPr>
        <w:numPr>
          <w:ilvl w:val="0"/>
          <w:numId w:val="7"/>
        </w:numPr>
      </w:pPr>
      <w:r w:rsidRPr="007803BF">
        <w:t>La valeur de l’approximation.</w:t>
      </w:r>
    </w:p>
    <w:p w14:paraId="4536D826" w14:textId="77777777" w:rsidR="007803BF" w:rsidRPr="007803BF" w:rsidRDefault="007803BF" w:rsidP="007803BF">
      <w:pPr>
        <w:numPr>
          <w:ilvl w:val="0"/>
          <w:numId w:val="7"/>
        </w:numPr>
      </w:pPr>
      <w:r w:rsidRPr="007803BF">
        <w:t>Le coût final.</w:t>
      </w:r>
    </w:p>
    <w:p w14:paraId="640F15ED" w14:textId="77777777" w:rsidR="007803BF" w:rsidRPr="007803BF" w:rsidRDefault="007803BF" w:rsidP="007803BF">
      <w:pPr>
        <w:numPr>
          <w:ilvl w:val="0"/>
          <w:numId w:val="7"/>
        </w:numPr>
      </w:pPr>
      <w:r w:rsidRPr="007803BF">
        <w:t>Le délai final.</w:t>
      </w:r>
    </w:p>
    <w:p w14:paraId="31C9030F" w14:textId="77777777" w:rsidR="007803BF" w:rsidRPr="007803BF" w:rsidRDefault="007803BF" w:rsidP="007803BF">
      <w:pPr>
        <w:rPr>
          <w:b/>
          <w:bCs/>
        </w:rPr>
      </w:pPr>
      <w:r w:rsidRPr="007803BF">
        <w:rPr>
          <w:b/>
          <w:bCs/>
        </w:rPr>
        <w:t>b. Les différentes phases du contrat agile</w:t>
      </w:r>
    </w:p>
    <w:p w14:paraId="078727C0" w14:textId="77777777" w:rsidR="007803BF" w:rsidRPr="007803BF" w:rsidRDefault="007803BF" w:rsidP="007803BF">
      <w:r w:rsidRPr="007803BF">
        <w:t xml:space="preserve">La première partie du projet ne constitue clairement pas un socle suffisamment stable pour être réalisée avec un engagement de résultat. Par ailleurs, l’inclure dans un engagement plus global introduit un conflit d’intérêts avec la phase de validation des hypothèses, qui suppose transparence et sincérité. Le client serait tenté de sous-évaluer la </w:t>
      </w:r>
      <w:proofErr w:type="spellStart"/>
      <w:r w:rsidRPr="007803BF">
        <w:t>backlog</w:t>
      </w:r>
      <w:proofErr w:type="spellEnd"/>
      <w:r w:rsidRPr="007803BF">
        <w:t xml:space="preserve"> et le fournisseur de la surévaluer.</w:t>
      </w:r>
    </w:p>
    <w:p w14:paraId="670CA74C" w14:textId="77777777" w:rsidR="007803BF" w:rsidRPr="007803BF" w:rsidRDefault="007803BF" w:rsidP="007803BF">
      <w:r w:rsidRPr="007803BF">
        <w:t>La solution consiste à différencier le mode d’engagement en fonction des phases du projet.</w:t>
      </w:r>
    </w:p>
    <w:p w14:paraId="6B7AF170" w14:textId="5784FA1C" w:rsidR="007803BF" w:rsidRPr="007803BF" w:rsidRDefault="007803BF" w:rsidP="007803BF">
      <w:r w:rsidRPr="007803BF">
        <w:lastRenderedPageBreak/>
        <w:drawing>
          <wp:inline distT="0" distB="0" distL="0" distR="0" wp14:anchorId="1DA1CD10" wp14:editId="26B90106">
            <wp:extent cx="5619750" cy="3162300"/>
            <wp:effectExtent l="0" t="0" r="0" b="0"/>
            <wp:docPr id="677229002" name="Image 1" descr="Une image contenant texte, diagramme, lign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29002" name="Image 1" descr="Une image contenant texte, diagramme, ligne, Pla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162300"/>
                    </a:xfrm>
                    <a:prstGeom prst="rect">
                      <a:avLst/>
                    </a:prstGeom>
                    <a:noFill/>
                    <a:ln>
                      <a:noFill/>
                    </a:ln>
                  </pic:spPr>
                </pic:pic>
              </a:graphicData>
            </a:graphic>
          </wp:inline>
        </w:drawing>
      </w:r>
    </w:p>
    <w:p w14:paraId="668D45EE" w14:textId="77777777" w:rsidR="007803BF" w:rsidRPr="007803BF" w:rsidRDefault="007803BF" w:rsidP="007803BF">
      <w:r w:rsidRPr="007803BF">
        <w:t>Comme le montre le schéma, la première phase d’évaluation pourra être réalisée en mode capacitaire, c’est-à-dire que le fournisseur s’engage à fournir les ressources nécessaires en mode régie.</w:t>
      </w:r>
    </w:p>
    <w:p w14:paraId="54C09932" w14:textId="77777777" w:rsidR="007803BF" w:rsidRPr="007803BF" w:rsidRDefault="007803BF" w:rsidP="007803BF">
      <w:r w:rsidRPr="007803BF">
        <w:t xml:space="preserve">Une fois les hypothèses validées, le projet rentrera dans une phase d’engagement basée sur le nombre de points à produire, modulo la valeur de l’approximation retenue. Par exemple, si cette valeur est de 20 %, l’engagement portera sur une fourchette allant de 80 à 120 % de la totalité des story points estimés lors de l’évaluation. C’est cette fourchette qui permet d’introduire la variabilité. Le client pourra ainsi réaliser des changements dans la </w:t>
      </w:r>
      <w:proofErr w:type="spellStart"/>
      <w:r w:rsidRPr="007803BF">
        <w:t>backlog</w:t>
      </w:r>
      <w:proofErr w:type="spellEnd"/>
      <w:r w:rsidRPr="007803BF">
        <w:t xml:space="preserve"> du projet en contrepartie d’une nouvelle estimation commune entre le client et le fournisseur, et à la condition de conserver un nombre total de story points dans la fourchette d’engagement. Ce dispositif introduit l’agilité nécessaire pour piloter le projet par la valeur.</w:t>
      </w:r>
    </w:p>
    <w:p w14:paraId="7BC1F5EB" w14:textId="77777777" w:rsidR="007803BF" w:rsidRPr="007803BF" w:rsidRDefault="007803BF" w:rsidP="007803BF">
      <w:r w:rsidRPr="007803BF">
        <w:t>Le coût de la phase engagée du projet est établi sur la base du coût moyen par sprint, multiplié par le nombre de sprints. Le coût moyen par sprint correspond simplement au coût des ressources mobilisées. Une fois cette estimation réalisée, le fournisseur est engagé à produire le nombre de points par sprint pour le montant moyen de sprints qu’il a estimé de façon forfaitaire.</w:t>
      </w:r>
    </w:p>
    <w:p w14:paraId="5B0421A5" w14:textId="77777777" w:rsidR="007803BF" w:rsidRPr="007803BF" w:rsidRDefault="007803BF" w:rsidP="007803BF">
      <w:r w:rsidRPr="007803BF">
        <w:t>Il est évidemment possible d’introduire des variantes à ce schéma.</w:t>
      </w:r>
    </w:p>
    <w:p w14:paraId="488B98B9" w14:textId="77777777" w:rsidR="007803BF" w:rsidRPr="007803BF" w:rsidRDefault="007803BF" w:rsidP="007803BF">
      <w:r w:rsidRPr="007803BF">
        <w:t>La sélection multiple</w:t>
      </w:r>
    </w:p>
    <w:p w14:paraId="2E6ECC9F" w14:textId="77777777" w:rsidR="007803BF" w:rsidRPr="007803BF" w:rsidRDefault="007803BF" w:rsidP="007803BF">
      <w:r w:rsidRPr="007803BF">
        <w:t xml:space="preserve">L’idée est de convoquer plusieurs soumissionnaires pour toute la phase d’évaluation et de ne faire la sélection du candidat qu’au dernier moment. En conservant des options, on se laisse la possibilité de ne prendre une décision qu’après une phase </w:t>
      </w:r>
      <w:r w:rsidRPr="007803BF">
        <w:lastRenderedPageBreak/>
        <w:t>d’expérimentation. Cette phase donnera une appréciation beaucoup plus concrète de la vraie capacité de chacun d’entre eux.</w:t>
      </w:r>
    </w:p>
    <w:p w14:paraId="6BACBA50" w14:textId="77777777" w:rsidR="007803BF" w:rsidRPr="007803BF" w:rsidRDefault="007803BF" w:rsidP="007803BF">
      <w:r w:rsidRPr="007803BF">
        <w:t>Les soumissionnaires sont tous rémunérés sur la base des ressources mobilisées durant la phase d’évaluation. Cela représente un coût supplémentaire pour le client, mais pour un projet d’envergure, cela se justifie en apportant une assurance supplémentaire sur le bon déroulement du projet.</w:t>
      </w:r>
    </w:p>
    <w:p w14:paraId="5C748500" w14:textId="77777777" w:rsidR="007803BF" w:rsidRPr="007803BF" w:rsidRDefault="007803BF" w:rsidP="007803BF">
      <w:r w:rsidRPr="007803BF">
        <w:t>Par ailleurs, cette mise en concurrence provoque un effet d’émulation entre les différents compétiteurs qui apportent d’autres informations, voire d’autres opportunités :</w:t>
      </w:r>
    </w:p>
    <w:p w14:paraId="7D1F273D" w14:textId="77777777" w:rsidR="007803BF" w:rsidRPr="007803BF" w:rsidRDefault="007803BF" w:rsidP="007803BF">
      <w:pPr>
        <w:numPr>
          <w:ilvl w:val="0"/>
          <w:numId w:val="8"/>
        </w:numPr>
      </w:pPr>
      <w:r w:rsidRPr="007803BF">
        <w:t>La possibilité de découvrir des solutions plus efficientes, moins chères et mieux adaptées.</w:t>
      </w:r>
    </w:p>
    <w:p w14:paraId="2F3151FC" w14:textId="77777777" w:rsidR="007803BF" w:rsidRPr="007803BF" w:rsidRDefault="007803BF" w:rsidP="007803BF">
      <w:pPr>
        <w:numPr>
          <w:ilvl w:val="0"/>
          <w:numId w:val="8"/>
        </w:numPr>
      </w:pPr>
      <w:r w:rsidRPr="007803BF">
        <w:t>Une meilleure compréhension de la faculté de chacun des prestataires à s’insérer dans les pratiques mises en place et à en évaluer la pertinence. Peut-être ont-ils également des pratiques intéressantes à intégrer dans le dispositif.</w:t>
      </w:r>
    </w:p>
    <w:p w14:paraId="12231015" w14:textId="77777777" w:rsidR="007803BF" w:rsidRPr="007803BF" w:rsidRDefault="007803BF" w:rsidP="007803BF">
      <w:pPr>
        <w:numPr>
          <w:ilvl w:val="0"/>
          <w:numId w:val="8"/>
        </w:numPr>
      </w:pPr>
      <w:r w:rsidRPr="007803BF">
        <w:t>Une évaluation de leurs aptitudes respectives à entretenir une communication fluide, ouverte et sincère. Cela révèle également des informations sur la stratégie RH du prestataire et l’importance qu’il consacrera, ou non, aux compétences comportementales (</w:t>
      </w:r>
      <w:r w:rsidRPr="007803BF">
        <w:rPr>
          <w:i/>
          <w:iCs/>
        </w:rPr>
        <w:t xml:space="preserve">soft </w:t>
      </w:r>
      <w:proofErr w:type="spellStart"/>
      <w:r w:rsidRPr="007803BF">
        <w:rPr>
          <w:i/>
          <w:iCs/>
        </w:rPr>
        <w:t>skills</w:t>
      </w:r>
      <w:proofErr w:type="spellEnd"/>
      <w:r w:rsidRPr="007803BF">
        <w:t>) de ses consultants.</w:t>
      </w:r>
    </w:p>
    <w:p w14:paraId="662CBFCE" w14:textId="77777777" w:rsidR="007803BF" w:rsidRPr="007803BF" w:rsidRDefault="007803BF" w:rsidP="007803BF">
      <w:r w:rsidRPr="007803BF">
        <w:t>Le stop ou encore</w:t>
      </w:r>
    </w:p>
    <w:p w14:paraId="5DC73B4B" w14:textId="77777777" w:rsidR="007803BF" w:rsidRPr="007803BF" w:rsidRDefault="007803BF" w:rsidP="007803BF">
      <w:r w:rsidRPr="007803BF">
        <w:t>Cette pratique profite de la simplicité du calcul du coût d’un contrat agile. L’unité de coût étant le sprint, il devient alors facile d’arrêter ou de continuer un projet en ayant une idée exacte de ce que cela coûte.</w:t>
      </w:r>
    </w:p>
    <w:p w14:paraId="3F3A96F2" w14:textId="77777777" w:rsidR="007803BF" w:rsidRPr="007803BF" w:rsidRDefault="007803BF" w:rsidP="007803BF">
      <w:r w:rsidRPr="007803BF">
        <w:t>L’intérêt de cette variante est de pouvoir rassurer le client sur le fait qu’il contrôle en permanence la direction du projet. Les raisons d’arrêter un projet peuvent être multiples :</w:t>
      </w:r>
    </w:p>
    <w:p w14:paraId="45BD8E91" w14:textId="77777777" w:rsidR="007803BF" w:rsidRPr="007803BF" w:rsidRDefault="007803BF" w:rsidP="007803BF">
      <w:pPr>
        <w:numPr>
          <w:ilvl w:val="0"/>
          <w:numId w:val="9"/>
        </w:numPr>
      </w:pPr>
      <w:r w:rsidRPr="007803BF">
        <w:t>La valeur produite est suffisante. Le mieux étant l’ennemi du bien, savoir s’arrêter sur une solution qui rend le service escompté est une aptitude de grande valeur.</w:t>
      </w:r>
    </w:p>
    <w:p w14:paraId="1413238D" w14:textId="77777777" w:rsidR="007803BF" w:rsidRPr="007803BF" w:rsidRDefault="007803BF" w:rsidP="007803BF">
      <w:pPr>
        <w:numPr>
          <w:ilvl w:val="0"/>
          <w:numId w:val="9"/>
        </w:numPr>
      </w:pPr>
      <w:r w:rsidRPr="007803BF">
        <w:t>À l’inverse le résultat ne correspond pas aux attentes du client et la valeur apportée est jugée insuffisante.</w:t>
      </w:r>
    </w:p>
    <w:p w14:paraId="3D4787A7" w14:textId="77777777" w:rsidR="007803BF" w:rsidRPr="007803BF" w:rsidRDefault="007803BF" w:rsidP="007803BF">
      <w:pPr>
        <w:numPr>
          <w:ilvl w:val="0"/>
          <w:numId w:val="9"/>
        </w:numPr>
      </w:pPr>
      <w:r w:rsidRPr="007803BF">
        <w:t>Les fonds sont réalloués à un autre projet plus stratégique.</w:t>
      </w:r>
    </w:p>
    <w:p w14:paraId="7C2BEAAE" w14:textId="77777777" w:rsidR="007803BF" w:rsidRPr="007803BF" w:rsidRDefault="007803BF" w:rsidP="007803BF">
      <w:pPr>
        <w:numPr>
          <w:ilvl w:val="0"/>
          <w:numId w:val="9"/>
        </w:numPr>
      </w:pPr>
      <w:r w:rsidRPr="007803BF">
        <w:t>La prestation fournie ne correspond pas aux attentes.</w:t>
      </w:r>
    </w:p>
    <w:p w14:paraId="3BD70D52" w14:textId="77777777" w:rsidR="007803BF" w:rsidRPr="007803BF" w:rsidRDefault="007803BF" w:rsidP="007803BF">
      <w:r w:rsidRPr="007803BF">
        <w:t>Du côté du client, cela introduit la souplesse nécessaire pour pivoter et positionner ses efforts budgétaires sur d’autres projets à plus forte valeur ajoutée. Cela permet également de garder une incitation forte pour le fournisseur à conserver un haut niveau de qualité.</w:t>
      </w:r>
    </w:p>
    <w:p w14:paraId="4426E339" w14:textId="77777777" w:rsidR="007803BF" w:rsidRPr="007803BF" w:rsidRDefault="007803BF" w:rsidP="007803BF">
      <w:r w:rsidRPr="007803BF">
        <w:lastRenderedPageBreak/>
        <w:t>Du côté du fournisseur, cette clause laisse une porte ouverte pour la continuité du projet au-delà de l’engagement initial sans que cela ne bouscule le dispositif ou ne nécessite un nouvel appel d’offres.</w:t>
      </w:r>
    </w:p>
    <w:p w14:paraId="22E7D2C8" w14:textId="77777777" w:rsidR="007803BF" w:rsidRPr="007803BF" w:rsidRDefault="007803BF" w:rsidP="007803BF">
      <w:r w:rsidRPr="007803BF">
        <w:t>Pour conclure, le contrat agile permet de répondre à la valeur du manifeste agile en fournissant :</w:t>
      </w:r>
    </w:p>
    <w:p w14:paraId="328E0AAA" w14:textId="77777777" w:rsidR="007803BF" w:rsidRPr="007803BF" w:rsidRDefault="007803BF" w:rsidP="007803BF">
      <w:pPr>
        <w:numPr>
          <w:ilvl w:val="0"/>
          <w:numId w:val="10"/>
        </w:numPr>
      </w:pPr>
      <w:proofErr w:type="gramStart"/>
      <w:r w:rsidRPr="007803BF">
        <w:t>un</w:t>
      </w:r>
      <w:proofErr w:type="gramEnd"/>
      <w:r w:rsidRPr="007803BF">
        <w:t xml:space="preserve"> moyen d’introduire des changements de périmètre sans remise en cause de l’engagement, et donc sans friction ;</w:t>
      </w:r>
    </w:p>
    <w:p w14:paraId="0E3BE497" w14:textId="77777777" w:rsidR="007803BF" w:rsidRPr="007803BF" w:rsidRDefault="007803BF" w:rsidP="007803BF">
      <w:pPr>
        <w:numPr>
          <w:ilvl w:val="0"/>
          <w:numId w:val="10"/>
        </w:numPr>
      </w:pPr>
      <w:proofErr w:type="gramStart"/>
      <w:r w:rsidRPr="007803BF">
        <w:t>une</w:t>
      </w:r>
      <w:proofErr w:type="gramEnd"/>
      <w:r w:rsidRPr="007803BF">
        <w:t xml:space="preserve"> capacité de communication permanente au travers d’instances agiles communes : estimation des user stories, sprint </w:t>
      </w:r>
      <w:proofErr w:type="spellStart"/>
      <w:r w:rsidRPr="007803BF">
        <w:t>reviews</w:t>
      </w:r>
      <w:proofErr w:type="spellEnd"/>
      <w:r w:rsidRPr="007803BF">
        <w:t>, rétrospectives. Ces instances assurent la transparence entre le client et le fournisseur ;</w:t>
      </w:r>
    </w:p>
    <w:p w14:paraId="2ABD3D9D" w14:textId="77777777" w:rsidR="007803BF" w:rsidRPr="007803BF" w:rsidRDefault="007803BF" w:rsidP="007803BF">
      <w:pPr>
        <w:numPr>
          <w:ilvl w:val="0"/>
          <w:numId w:val="10"/>
        </w:numPr>
      </w:pPr>
      <w:proofErr w:type="gramStart"/>
      <w:r w:rsidRPr="007803BF">
        <w:t>une</w:t>
      </w:r>
      <w:proofErr w:type="gramEnd"/>
      <w:r w:rsidRPr="007803BF">
        <w:t xml:space="preserve"> assurance que la qualité reste au cœur de l’intérêt partagé entre le client et le fournisseur ;</w:t>
      </w:r>
    </w:p>
    <w:p w14:paraId="38F171D3" w14:textId="77777777" w:rsidR="007803BF" w:rsidRPr="007803BF" w:rsidRDefault="007803BF" w:rsidP="007803BF">
      <w:pPr>
        <w:numPr>
          <w:ilvl w:val="0"/>
          <w:numId w:val="10"/>
        </w:numPr>
      </w:pPr>
      <w:proofErr w:type="gramStart"/>
      <w:r w:rsidRPr="007803BF">
        <w:t>un</w:t>
      </w:r>
      <w:proofErr w:type="gramEnd"/>
      <w:r w:rsidRPr="007803BF">
        <w:t xml:space="preserve"> moyen pour l’acheteur de conserver la visibilité et le contrôle sur la prestation réalisée.</w:t>
      </w:r>
    </w:p>
    <w:p w14:paraId="21A87190" w14:textId="77777777" w:rsidR="007803BF" w:rsidRPr="007803BF" w:rsidRDefault="007803BF" w:rsidP="007803BF">
      <w:r w:rsidRPr="007803BF">
        <w:t>4. Quels impacts pour le DevOps ?</w:t>
      </w:r>
    </w:p>
    <w:p w14:paraId="561966D8" w14:textId="77777777" w:rsidR="007803BF" w:rsidRPr="007803BF" w:rsidRDefault="007803BF" w:rsidP="007803BF">
      <w:r w:rsidRPr="007803BF">
        <w:t>Le contrat agile met en avant la capacité à changer le périmètre fonctionnel. En ce sens il répond à un enjeu majeur de l’agilité et à l’objectif du DevOps : la possibilité de pivoter et d’adapter le produit en recueillant régulièrement le feedback du client.</w:t>
      </w:r>
    </w:p>
    <w:p w14:paraId="278B5BE4" w14:textId="77777777" w:rsidR="007803BF" w:rsidRPr="007803BF" w:rsidRDefault="007803BF" w:rsidP="007803BF">
      <w:r w:rsidRPr="007803BF">
        <w:t>Dans le cadre de ce contrat, les pratiques DevOps permettront de s’assurer que tous les moyens sont donnés à l’équipe pour déployer l’application régulièrement et recueillir les données d’analyse nécessaires afin d’évaluer l’opportunité du changement et de l’adaptation.</w:t>
      </w:r>
    </w:p>
    <w:p w14:paraId="2850F121" w14:textId="77777777" w:rsidR="007803BF" w:rsidRPr="007803BF" w:rsidRDefault="007803BF" w:rsidP="007803BF">
      <w:r w:rsidRPr="007803BF">
        <w:t>L’impact direct de cette situation est que l’équipe projet ne se limite pas aux développeurs. Elle inclut nécessairement des représentants de l’équipe des opérations au sein de l’équipe projet. Pour les fournisseurs, il est désormais indispensable de proposer dans l’équipe projet des compétences en technologies d’automatisation des environnements, de cloud, et d’infrastructure en général. C’est un aspect qui sera vu plus en profondeur dans l’organisation.</w:t>
      </w:r>
    </w:p>
    <w:p w14:paraId="443F346A" w14:textId="77777777" w:rsidR="007803BF" w:rsidRPr="007803BF" w:rsidRDefault="007803BF" w:rsidP="007803BF">
      <w:r w:rsidRPr="007803BF">
        <w:t>5. Quels impacts pour les achats et services juridiques</w:t>
      </w:r>
    </w:p>
    <w:p w14:paraId="47CA8D8A" w14:textId="77777777" w:rsidR="007803BF" w:rsidRPr="007803BF" w:rsidRDefault="007803BF" w:rsidP="007803BF">
      <w:r w:rsidRPr="007803BF">
        <w:t>L’adaptation du contrat pour répondre aux valeurs de l’agilité et du DevOps est aussi un changement culturel important pour les services achats et juridiques. Il est nécessaire que les acheteurs soient conscients des enjeux liés aux pratiques d’ingénierie actuelles, et y adhèrent, pour ne pas être au centre des blocages de leur adoption dans les organisations.</w:t>
      </w:r>
    </w:p>
    <w:p w14:paraId="40A4C877" w14:textId="77777777" w:rsidR="007803BF" w:rsidRPr="007803BF" w:rsidRDefault="007803BF" w:rsidP="007803BF">
      <w:r w:rsidRPr="007803BF">
        <w:lastRenderedPageBreak/>
        <w:t>Pour cela, il est important de leur apporter les éléments de culture agile qui leur permettent d’être convaincus que la contractualisation agile répond beaucoup mieux à la réalité des projets informatiques, et fournit des outils adaptés à la maîtrise de leur stratégie d’achat.</w:t>
      </w:r>
    </w:p>
    <w:p w14:paraId="5BEA0CB4" w14:textId="77777777" w:rsidR="007803BF" w:rsidRDefault="007803BF"/>
    <w:sectPr w:rsidR="00780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8DD"/>
    <w:multiLevelType w:val="multilevel"/>
    <w:tmpl w:val="4F4E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986D13"/>
    <w:multiLevelType w:val="multilevel"/>
    <w:tmpl w:val="9DC0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EF6F86"/>
    <w:multiLevelType w:val="multilevel"/>
    <w:tmpl w:val="4942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F5770F"/>
    <w:multiLevelType w:val="multilevel"/>
    <w:tmpl w:val="9E5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822425"/>
    <w:multiLevelType w:val="multilevel"/>
    <w:tmpl w:val="BC18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030FEC"/>
    <w:multiLevelType w:val="multilevel"/>
    <w:tmpl w:val="F4F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2145E"/>
    <w:multiLevelType w:val="multilevel"/>
    <w:tmpl w:val="126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022F52"/>
    <w:multiLevelType w:val="multilevel"/>
    <w:tmpl w:val="492A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F81A71"/>
    <w:multiLevelType w:val="multilevel"/>
    <w:tmpl w:val="3F6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F749B5"/>
    <w:multiLevelType w:val="multilevel"/>
    <w:tmpl w:val="F44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4322078">
    <w:abstractNumId w:val="0"/>
  </w:num>
  <w:num w:numId="2" w16cid:durableId="1230113307">
    <w:abstractNumId w:val="4"/>
  </w:num>
  <w:num w:numId="3" w16cid:durableId="225729266">
    <w:abstractNumId w:val="8"/>
  </w:num>
  <w:num w:numId="4" w16cid:durableId="586427199">
    <w:abstractNumId w:val="3"/>
  </w:num>
  <w:num w:numId="5" w16cid:durableId="213931017">
    <w:abstractNumId w:val="1"/>
  </w:num>
  <w:num w:numId="6" w16cid:durableId="111480211">
    <w:abstractNumId w:val="9"/>
  </w:num>
  <w:num w:numId="7" w16cid:durableId="1615746522">
    <w:abstractNumId w:val="2"/>
  </w:num>
  <w:num w:numId="8" w16cid:durableId="497964412">
    <w:abstractNumId w:val="7"/>
  </w:num>
  <w:num w:numId="9" w16cid:durableId="305401410">
    <w:abstractNumId w:val="6"/>
  </w:num>
  <w:num w:numId="10" w16cid:durableId="823354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BF"/>
    <w:rsid w:val="003027C9"/>
    <w:rsid w:val="00780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83E1"/>
  <w15:chartTrackingRefBased/>
  <w15:docId w15:val="{D872B8F8-8319-455A-B511-2E63011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0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0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03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03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03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03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03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03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03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3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03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03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03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03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03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03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03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03BF"/>
    <w:rPr>
      <w:rFonts w:eastAsiaTheme="majorEastAsia" w:cstheme="majorBidi"/>
      <w:color w:val="272727" w:themeColor="text1" w:themeTint="D8"/>
    </w:rPr>
  </w:style>
  <w:style w:type="paragraph" w:styleId="Titre">
    <w:name w:val="Title"/>
    <w:basedOn w:val="Normal"/>
    <w:next w:val="Normal"/>
    <w:link w:val="TitreCar"/>
    <w:uiPriority w:val="10"/>
    <w:qFormat/>
    <w:rsid w:val="00780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03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03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03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03BF"/>
    <w:pPr>
      <w:spacing w:before="160"/>
      <w:jc w:val="center"/>
    </w:pPr>
    <w:rPr>
      <w:i/>
      <w:iCs/>
      <w:color w:val="404040" w:themeColor="text1" w:themeTint="BF"/>
    </w:rPr>
  </w:style>
  <w:style w:type="character" w:customStyle="1" w:styleId="CitationCar">
    <w:name w:val="Citation Car"/>
    <w:basedOn w:val="Policepardfaut"/>
    <w:link w:val="Citation"/>
    <w:uiPriority w:val="29"/>
    <w:rsid w:val="007803BF"/>
    <w:rPr>
      <w:i/>
      <w:iCs/>
      <w:color w:val="404040" w:themeColor="text1" w:themeTint="BF"/>
    </w:rPr>
  </w:style>
  <w:style w:type="paragraph" w:styleId="Paragraphedeliste">
    <w:name w:val="List Paragraph"/>
    <w:basedOn w:val="Normal"/>
    <w:uiPriority w:val="34"/>
    <w:qFormat/>
    <w:rsid w:val="007803BF"/>
    <w:pPr>
      <w:ind w:left="720"/>
      <w:contextualSpacing/>
    </w:pPr>
  </w:style>
  <w:style w:type="character" w:styleId="Accentuationintense">
    <w:name w:val="Intense Emphasis"/>
    <w:basedOn w:val="Policepardfaut"/>
    <w:uiPriority w:val="21"/>
    <w:qFormat/>
    <w:rsid w:val="007803BF"/>
    <w:rPr>
      <w:i/>
      <w:iCs/>
      <w:color w:val="0F4761" w:themeColor="accent1" w:themeShade="BF"/>
    </w:rPr>
  </w:style>
  <w:style w:type="paragraph" w:styleId="Citationintense">
    <w:name w:val="Intense Quote"/>
    <w:basedOn w:val="Normal"/>
    <w:next w:val="Normal"/>
    <w:link w:val="CitationintenseCar"/>
    <w:uiPriority w:val="30"/>
    <w:qFormat/>
    <w:rsid w:val="00780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03BF"/>
    <w:rPr>
      <w:i/>
      <w:iCs/>
      <w:color w:val="0F4761" w:themeColor="accent1" w:themeShade="BF"/>
    </w:rPr>
  </w:style>
  <w:style w:type="character" w:styleId="Rfrenceintense">
    <w:name w:val="Intense Reference"/>
    <w:basedOn w:val="Policepardfaut"/>
    <w:uiPriority w:val="32"/>
    <w:qFormat/>
    <w:rsid w:val="00780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2732">
      <w:bodyDiv w:val="1"/>
      <w:marLeft w:val="0"/>
      <w:marRight w:val="0"/>
      <w:marTop w:val="0"/>
      <w:marBottom w:val="0"/>
      <w:divBdr>
        <w:top w:val="none" w:sz="0" w:space="0" w:color="auto"/>
        <w:left w:val="none" w:sz="0" w:space="0" w:color="auto"/>
        <w:bottom w:val="none" w:sz="0" w:space="0" w:color="auto"/>
        <w:right w:val="none" w:sz="0" w:space="0" w:color="auto"/>
      </w:divBdr>
      <w:divsChild>
        <w:div w:id="567767557">
          <w:marLeft w:val="0"/>
          <w:marRight w:val="0"/>
          <w:marTop w:val="600"/>
          <w:marBottom w:val="0"/>
          <w:divBdr>
            <w:top w:val="none" w:sz="0" w:space="0" w:color="auto"/>
            <w:left w:val="none" w:sz="0" w:space="0" w:color="auto"/>
            <w:bottom w:val="none" w:sz="0" w:space="0" w:color="auto"/>
            <w:right w:val="none" w:sz="0" w:space="0" w:color="auto"/>
          </w:divBdr>
          <w:divsChild>
            <w:div w:id="226721499">
              <w:marLeft w:val="150"/>
              <w:marRight w:val="0"/>
              <w:marTop w:val="0"/>
              <w:marBottom w:val="0"/>
              <w:divBdr>
                <w:top w:val="none" w:sz="0" w:space="0" w:color="auto"/>
                <w:left w:val="none" w:sz="0" w:space="0" w:color="auto"/>
                <w:bottom w:val="none" w:sz="0" w:space="0" w:color="auto"/>
                <w:right w:val="none" w:sz="0" w:space="0" w:color="auto"/>
              </w:divBdr>
            </w:div>
            <w:div w:id="1554579669">
              <w:marLeft w:val="150"/>
              <w:marRight w:val="0"/>
              <w:marTop w:val="0"/>
              <w:marBottom w:val="0"/>
              <w:divBdr>
                <w:top w:val="none" w:sz="0" w:space="0" w:color="auto"/>
                <w:left w:val="none" w:sz="0" w:space="0" w:color="auto"/>
                <w:bottom w:val="none" w:sz="0" w:space="0" w:color="auto"/>
                <w:right w:val="none" w:sz="0" w:space="0" w:color="auto"/>
              </w:divBdr>
            </w:div>
            <w:div w:id="1298994408">
              <w:marLeft w:val="150"/>
              <w:marRight w:val="0"/>
              <w:marTop w:val="0"/>
              <w:marBottom w:val="0"/>
              <w:divBdr>
                <w:top w:val="none" w:sz="0" w:space="0" w:color="auto"/>
                <w:left w:val="none" w:sz="0" w:space="0" w:color="auto"/>
                <w:bottom w:val="none" w:sz="0" w:space="0" w:color="auto"/>
                <w:right w:val="none" w:sz="0" w:space="0" w:color="auto"/>
              </w:divBdr>
            </w:div>
          </w:divsChild>
        </w:div>
        <w:div w:id="1455440666">
          <w:marLeft w:val="0"/>
          <w:marRight w:val="0"/>
          <w:marTop w:val="600"/>
          <w:marBottom w:val="0"/>
          <w:divBdr>
            <w:top w:val="none" w:sz="0" w:space="0" w:color="auto"/>
            <w:left w:val="none" w:sz="0" w:space="0" w:color="auto"/>
            <w:bottom w:val="none" w:sz="0" w:space="0" w:color="auto"/>
            <w:right w:val="none" w:sz="0" w:space="0" w:color="auto"/>
          </w:divBdr>
          <w:divsChild>
            <w:div w:id="1058407193">
              <w:marLeft w:val="150"/>
              <w:marRight w:val="0"/>
              <w:marTop w:val="0"/>
              <w:marBottom w:val="0"/>
              <w:divBdr>
                <w:top w:val="none" w:sz="0" w:space="0" w:color="auto"/>
                <w:left w:val="none" w:sz="0" w:space="0" w:color="auto"/>
                <w:bottom w:val="none" w:sz="0" w:space="0" w:color="auto"/>
                <w:right w:val="none" w:sz="0" w:space="0" w:color="auto"/>
              </w:divBdr>
            </w:div>
            <w:div w:id="1648705181">
              <w:marLeft w:val="0"/>
              <w:marRight w:val="0"/>
              <w:marTop w:val="0"/>
              <w:marBottom w:val="0"/>
              <w:divBdr>
                <w:top w:val="none" w:sz="0" w:space="0" w:color="auto"/>
                <w:left w:val="none" w:sz="0" w:space="0" w:color="auto"/>
                <w:bottom w:val="none" w:sz="0" w:space="0" w:color="auto"/>
                <w:right w:val="none" w:sz="0" w:space="0" w:color="auto"/>
              </w:divBdr>
              <w:divsChild>
                <w:div w:id="1567952272">
                  <w:marLeft w:val="0"/>
                  <w:marRight w:val="0"/>
                  <w:marTop w:val="150"/>
                  <w:marBottom w:val="150"/>
                  <w:divBdr>
                    <w:top w:val="none" w:sz="0" w:space="0" w:color="auto"/>
                    <w:left w:val="none" w:sz="0" w:space="0" w:color="auto"/>
                    <w:bottom w:val="none" w:sz="0" w:space="0" w:color="auto"/>
                    <w:right w:val="none" w:sz="0" w:space="0" w:color="auto"/>
                  </w:divBdr>
                </w:div>
              </w:divsChild>
            </w:div>
            <w:div w:id="814491396">
              <w:marLeft w:val="150"/>
              <w:marRight w:val="0"/>
              <w:marTop w:val="0"/>
              <w:marBottom w:val="0"/>
              <w:divBdr>
                <w:top w:val="none" w:sz="0" w:space="0" w:color="auto"/>
                <w:left w:val="none" w:sz="0" w:space="0" w:color="auto"/>
                <w:bottom w:val="none" w:sz="0" w:space="0" w:color="auto"/>
                <w:right w:val="none" w:sz="0" w:space="0" w:color="auto"/>
              </w:divBdr>
            </w:div>
          </w:divsChild>
        </w:div>
        <w:div w:id="953362690">
          <w:marLeft w:val="0"/>
          <w:marRight w:val="0"/>
          <w:marTop w:val="600"/>
          <w:marBottom w:val="0"/>
          <w:divBdr>
            <w:top w:val="none" w:sz="0" w:space="0" w:color="auto"/>
            <w:left w:val="none" w:sz="0" w:space="0" w:color="auto"/>
            <w:bottom w:val="none" w:sz="0" w:space="0" w:color="auto"/>
            <w:right w:val="none" w:sz="0" w:space="0" w:color="auto"/>
          </w:divBdr>
          <w:divsChild>
            <w:div w:id="212885909">
              <w:marLeft w:val="0"/>
              <w:marRight w:val="0"/>
              <w:marTop w:val="450"/>
              <w:marBottom w:val="0"/>
              <w:divBdr>
                <w:top w:val="none" w:sz="0" w:space="0" w:color="auto"/>
                <w:left w:val="none" w:sz="0" w:space="0" w:color="auto"/>
                <w:bottom w:val="none" w:sz="0" w:space="0" w:color="auto"/>
                <w:right w:val="none" w:sz="0" w:space="0" w:color="auto"/>
              </w:divBdr>
              <w:divsChild>
                <w:div w:id="1649283036">
                  <w:marLeft w:val="0"/>
                  <w:marRight w:val="0"/>
                  <w:marTop w:val="0"/>
                  <w:marBottom w:val="0"/>
                  <w:divBdr>
                    <w:top w:val="none" w:sz="0" w:space="0" w:color="auto"/>
                    <w:left w:val="none" w:sz="0" w:space="0" w:color="auto"/>
                    <w:bottom w:val="none" w:sz="0" w:space="0" w:color="auto"/>
                    <w:right w:val="none" w:sz="0" w:space="0" w:color="auto"/>
                  </w:divBdr>
                  <w:divsChild>
                    <w:div w:id="1667510535">
                      <w:marLeft w:val="0"/>
                      <w:marRight w:val="0"/>
                      <w:marTop w:val="150"/>
                      <w:marBottom w:val="150"/>
                      <w:divBdr>
                        <w:top w:val="none" w:sz="0" w:space="0" w:color="auto"/>
                        <w:left w:val="none" w:sz="0" w:space="0" w:color="auto"/>
                        <w:bottom w:val="none" w:sz="0" w:space="0" w:color="auto"/>
                        <w:right w:val="none" w:sz="0" w:space="0" w:color="auto"/>
                      </w:divBdr>
                    </w:div>
                  </w:divsChild>
                </w:div>
                <w:div w:id="1895236965">
                  <w:marLeft w:val="150"/>
                  <w:marRight w:val="0"/>
                  <w:marTop w:val="0"/>
                  <w:marBottom w:val="0"/>
                  <w:divBdr>
                    <w:top w:val="none" w:sz="0" w:space="0" w:color="auto"/>
                    <w:left w:val="none" w:sz="0" w:space="0" w:color="auto"/>
                    <w:bottom w:val="none" w:sz="0" w:space="0" w:color="auto"/>
                    <w:right w:val="none" w:sz="0" w:space="0" w:color="auto"/>
                  </w:divBdr>
                </w:div>
                <w:div w:id="203446630">
                  <w:marLeft w:val="0"/>
                  <w:marRight w:val="0"/>
                  <w:marTop w:val="0"/>
                  <w:marBottom w:val="0"/>
                  <w:divBdr>
                    <w:top w:val="none" w:sz="0" w:space="0" w:color="auto"/>
                    <w:left w:val="none" w:sz="0" w:space="0" w:color="auto"/>
                    <w:bottom w:val="none" w:sz="0" w:space="0" w:color="auto"/>
                    <w:right w:val="none" w:sz="0" w:space="0" w:color="auto"/>
                  </w:divBdr>
                  <w:divsChild>
                    <w:div w:id="1895770722">
                      <w:marLeft w:val="0"/>
                      <w:marRight w:val="0"/>
                      <w:marTop w:val="150"/>
                      <w:marBottom w:val="150"/>
                      <w:divBdr>
                        <w:top w:val="none" w:sz="0" w:space="0" w:color="auto"/>
                        <w:left w:val="none" w:sz="0" w:space="0" w:color="auto"/>
                        <w:bottom w:val="none" w:sz="0" w:space="0" w:color="auto"/>
                        <w:right w:val="none" w:sz="0" w:space="0" w:color="auto"/>
                      </w:divBdr>
                    </w:div>
                  </w:divsChild>
                </w:div>
                <w:div w:id="1513300608">
                  <w:marLeft w:val="150"/>
                  <w:marRight w:val="0"/>
                  <w:marTop w:val="0"/>
                  <w:marBottom w:val="0"/>
                  <w:divBdr>
                    <w:top w:val="none" w:sz="0" w:space="0" w:color="auto"/>
                    <w:left w:val="none" w:sz="0" w:space="0" w:color="auto"/>
                    <w:bottom w:val="none" w:sz="0" w:space="0" w:color="auto"/>
                    <w:right w:val="none" w:sz="0" w:space="0" w:color="auto"/>
                  </w:divBdr>
                </w:div>
              </w:divsChild>
            </w:div>
            <w:div w:id="1748577461">
              <w:marLeft w:val="0"/>
              <w:marRight w:val="0"/>
              <w:marTop w:val="450"/>
              <w:marBottom w:val="0"/>
              <w:divBdr>
                <w:top w:val="none" w:sz="0" w:space="0" w:color="auto"/>
                <w:left w:val="none" w:sz="0" w:space="0" w:color="auto"/>
                <w:bottom w:val="none" w:sz="0" w:space="0" w:color="auto"/>
                <w:right w:val="none" w:sz="0" w:space="0" w:color="auto"/>
              </w:divBdr>
              <w:divsChild>
                <w:div w:id="792864723">
                  <w:marLeft w:val="0"/>
                  <w:marRight w:val="0"/>
                  <w:marTop w:val="0"/>
                  <w:marBottom w:val="0"/>
                  <w:divBdr>
                    <w:top w:val="none" w:sz="0" w:space="0" w:color="auto"/>
                    <w:left w:val="none" w:sz="0" w:space="0" w:color="auto"/>
                    <w:bottom w:val="none" w:sz="0" w:space="0" w:color="auto"/>
                    <w:right w:val="none" w:sz="0" w:space="0" w:color="auto"/>
                  </w:divBdr>
                  <w:divsChild>
                    <w:div w:id="748842727">
                      <w:marLeft w:val="0"/>
                      <w:marRight w:val="0"/>
                      <w:marTop w:val="150"/>
                      <w:marBottom w:val="150"/>
                      <w:divBdr>
                        <w:top w:val="none" w:sz="0" w:space="0" w:color="auto"/>
                        <w:left w:val="none" w:sz="0" w:space="0" w:color="auto"/>
                        <w:bottom w:val="none" w:sz="0" w:space="0" w:color="auto"/>
                        <w:right w:val="none" w:sz="0" w:space="0" w:color="auto"/>
                      </w:divBdr>
                    </w:div>
                  </w:divsChild>
                </w:div>
                <w:div w:id="915942499">
                  <w:marLeft w:val="150"/>
                  <w:marRight w:val="0"/>
                  <w:marTop w:val="0"/>
                  <w:marBottom w:val="0"/>
                  <w:divBdr>
                    <w:top w:val="none" w:sz="0" w:space="0" w:color="auto"/>
                    <w:left w:val="none" w:sz="0" w:space="0" w:color="auto"/>
                    <w:bottom w:val="none" w:sz="0" w:space="0" w:color="auto"/>
                    <w:right w:val="none" w:sz="0" w:space="0" w:color="auto"/>
                  </w:divBdr>
                </w:div>
                <w:div w:id="1040974640">
                  <w:marLeft w:val="150"/>
                  <w:marRight w:val="0"/>
                  <w:marTop w:val="0"/>
                  <w:marBottom w:val="0"/>
                  <w:divBdr>
                    <w:top w:val="none" w:sz="0" w:space="0" w:color="auto"/>
                    <w:left w:val="none" w:sz="0" w:space="0" w:color="auto"/>
                    <w:bottom w:val="none" w:sz="0" w:space="0" w:color="auto"/>
                    <w:right w:val="none" w:sz="0" w:space="0" w:color="auto"/>
                  </w:divBdr>
                </w:div>
                <w:div w:id="8489850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9682823">
          <w:marLeft w:val="0"/>
          <w:marRight w:val="0"/>
          <w:marTop w:val="600"/>
          <w:marBottom w:val="0"/>
          <w:divBdr>
            <w:top w:val="none" w:sz="0" w:space="0" w:color="auto"/>
            <w:left w:val="none" w:sz="0" w:space="0" w:color="auto"/>
            <w:bottom w:val="none" w:sz="0" w:space="0" w:color="auto"/>
            <w:right w:val="none" w:sz="0" w:space="0" w:color="auto"/>
          </w:divBdr>
        </w:div>
        <w:div w:id="588655050">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2906</Words>
  <Characters>15984</Characters>
  <Application>Microsoft Office Word</Application>
  <DocSecurity>0</DocSecurity>
  <Lines>133</Lines>
  <Paragraphs>37</Paragraphs>
  <ScaleCrop>false</ScaleCrop>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2025-04-22T10:40:00Z</dcterms:created>
  <dcterms:modified xsi:type="dcterms:W3CDTF">2025-04-22T10:41:00Z</dcterms:modified>
</cp:coreProperties>
</file>