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7F77B" w14:textId="77777777" w:rsidR="00685C77" w:rsidRPr="00685C77" w:rsidRDefault="00685C77" w:rsidP="00685C77">
      <w:r w:rsidRPr="00685C77">
        <w:br/>
        <w:t>Quels enjeux liés à l’organisation ?</w:t>
      </w:r>
    </w:p>
    <w:p w14:paraId="221E0EEA" w14:textId="77777777" w:rsidR="00685C77" w:rsidRPr="00685C77" w:rsidRDefault="00685C77" w:rsidP="00685C77">
      <w:r w:rsidRPr="00685C77">
        <w:t>1. La compréhension de l’organisation IT par les métiers</w:t>
      </w:r>
    </w:p>
    <w:p w14:paraId="762EE9C4" w14:textId="77777777" w:rsidR="00685C77" w:rsidRPr="00685C77" w:rsidRDefault="00685C77" w:rsidP="00685C77">
      <w:r w:rsidRPr="00685C77">
        <w:t>Le modèle organisationnel traditionnel d’un service informatique est structuré autour de silos renfermant les compétences techniques. D’un point de vue extérieur, cette vision est relativement hermétique. Pour qu’un représentant du métier puisse comprendre à qui il doit parler afin de résoudre ses problèmes et/ou lui apporter des solutions, il doit comprendre ce que sont les rôles techniques qui régissent un service informatique.</w:t>
      </w:r>
    </w:p>
    <w:p w14:paraId="00CAFE57" w14:textId="77777777" w:rsidR="00685C77" w:rsidRPr="00685C77" w:rsidRDefault="00685C77" w:rsidP="00685C77">
      <w:r w:rsidRPr="00685C77">
        <w:t xml:space="preserve">Comme le montre le schéma ci-dessous, représentant l’organisation de notre exemple </w:t>
      </w:r>
      <w:proofErr w:type="spellStart"/>
      <w:r w:rsidRPr="00685C77">
        <w:t>Cotradis</w:t>
      </w:r>
      <w:proofErr w:type="spellEnd"/>
      <w:r w:rsidRPr="00685C77">
        <w:t>, un projet réalisé pour le compte d’un métier est géré par des équipes dans chacun des silos techniques de la DSI. Cela impose de mettre en place des rôles transversaux chargés d’actionner les équipes dans les silos et d’assurer la coordination entre eux. Ce rôle de coordination est généralement dévolu à un chef de projet piloté par le métier ou la maîtrise d’ouvrage. Ce chef de projet est en lien avec d’autres chefs de projet nommés dans chacun des silos afin de prendre en charge le projet dans sa globalité. Cette couche de coordination décuple les coûts et nécessite de nombreuses instances de synchronisation. </w:t>
      </w:r>
    </w:p>
    <w:p w14:paraId="068C0615" w14:textId="0B340466" w:rsidR="00685C77" w:rsidRPr="00685C77" w:rsidRDefault="00685C77" w:rsidP="00685C77">
      <w:r w:rsidRPr="00685C77">
        <w:drawing>
          <wp:inline distT="0" distB="0" distL="0" distR="0" wp14:anchorId="7B015E96" wp14:editId="2ABB6EE3">
            <wp:extent cx="4638675" cy="3067050"/>
            <wp:effectExtent l="0" t="0" r="9525" b="0"/>
            <wp:docPr id="1565378596" name="Image 2" descr="Une image contenant capture d’écran,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378596" name="Image 2" descr="Une image contenant capture d’écran, texte&#10;&#10;Le contenu généré par l’IA peut êtr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38675" cy="3067050"/>
                    </a:xfrm>
                    <a:prstGeom prst="rect">
                      <a:avLst/>
                    </a:prstGeom>
                    <a:noFill/>
                    <a:ln>
                      <a:noFill/>
                    </a:ln>
                  </pic:spPr>
                </pic:pic>
              </a:graphicData>
            </a:graphic>
          </wp:inline>
        </w:drawing>
      </w:r>
    </w:p>
    <w:p w14:paraId="44D20921" w14:textId="77777777" w:rsidR="00685C77" w:rsidRPr="00685C77" w:rsidRDefault="00685C77" w:rsidP="00685C77">
      <w:r w:rsidRPr="00685C77">
        <w:t>Cette organisation amène à une certaine complexité et concourt en partie à donner une image brouillonne, voire inefficace, du service informatique. Le responsable métier se pose alors des questions sur la façon d’utiliser le service informatique :</w:t>
      </w:r>
    </w:p>
    <w:p w14:paraId="48B5107C" w14:textId="77777777" w:rsidR="00685C77" w:rsidRPr="00685C77" w:rsidRDefault="00685C77" w:rsidP="00685C77">
      <w:pPr>
        <w:numPr>
          <w:ilvl w:val="0"/>
          <w:numId w:val="1"/>
        </w:numPr>
      </w:pPr>
      <w:r w:rsidRPr="00685C77">
        <w:t>En cas d’incident, quel chef de projet prend en charge la résolution et en assure le suivi ?</w:t>
      </w:r>
    </w:p>
    <w:p w14:paraId="6546494D" w14:textId="77777777" w:rsidR="00685C77" w:rsidRPr="00685C77" w:rsidRDefault="00685C77" w:rsidP="00685C77">
      <w:pPr>
        <w:numPr>
          <w:ilvl w:val="0"/>
          <w:numId w:val="1"/>
        </w:numPr>
      </w:pPr>
      <w:r w:rsidRPr="00685C77">
        <w:lastRenderedPageBreak/>
        <w:t>S’il souhaite faire une évolution mineure, est-ce qu’il s’adresse aux études ou à la production ?</w:t>
      </w:r>
    </w:p>
    <w:p w14:paraId="5476EA29" w14:textId="77777777" w:rsidR="00685C77" w:rsidRPr="00685C77" w:rsidRDefault="00685C77" w:rsidP="00685C77">
      <w:pPr>
        <w:numPr>
          <w:ilvl w:val="0"/>
          <w:numId w:val="1"/>
        </w:numPr>
      </w:pPr>
      <w:r w:rsidRPr="00685C77">
        <w:t>Qui est responsable des tests et de la validation du bon fonctionnement de l’application ?</w:t>
      </w:r>
    </w:p>
    <w:p w14:paraId="710202E7" w14:textId="77777777" w:rsidR="00685C77" w:rsidRPr="00685C77" w:rsidRDefault="00685C77" w:rsidP="00685C77">
      <w:pPr>
        <w:numPr>
          <w:ilvl w:val="0"/>
          <w:numId w:val="1"/>
        </w:numPr>
      </w:pPr>
      <w:r w:rsidRPr="00685C77">
        <w:t>...</w:t>
      </w:r>
    </w:p>
    <w:p w14:paraId="75365A37" w14:textId="77777777" w:rsidR="00685C77" w:rsidRPr="00685C77" w:rsidRDefault="00685C77" w:rsidP="00685C77">
      <w:r w:rsidRPr="00685C77">
        <w:t>Face à cette complexité organisationnelle, les responsables métier se retrouvent contraints de réaliser un grand plan construit à l’avance et fondé sur des hypothèses structurantes. Plus le plan sera détaillé, plus simple sera la coordination entre les différents services. À l’inverse, l’expérimentation, la concurrence des solutions, le retard de la décision et l’adaptation représentent des efforts de coordination trop importants, et sont donc trop chers. Par ailleurs, les différents silos techniques sont aussi imprégnés de cultures différentes et le mur de la confusion ne met que trop en évidence la difficulté de pouvoir aligner les services études et opérations autour d’une même stratégie d’expérimentation.</w:t>
      </w:r>
    </w:p>
    <w:p w14:paraId="412FEB63" w14:textId="77777777" w:rsidR="00685C77" w:rsidRPr="00685C77" w:rsidRDefault="00685C77" w:rsidP="00685C77">
      <w:r w:rsidRPr="00685C77">
        <w:t>Pour convaincre les métiers de changer de modèle opérationnel, c’est-à-dire d’aller d’un modèle en cascade vers un modèle Lean-Agile, il faut leur proposer une organisation plus lisible, plus facile d’accès et qui réduise drastiquement les efforts et les coûts de coordination transversale afin de favoriser l’expérimentation sous toutes ses formes.</w:t>
      </w:r>
    </w:p>
    <w:p w14:paraId="66661519" w14:textId="77777777" w:rsidR="00685C77" w:rsidRPr="00685C77" w:rsidRDefault="00685C77" w:rsidP="00685C77">
      <w:r w:rsidRPr="00685C77">
        <w:t>2. L’importance de la simplicité</w:t>
      </w:r>
    </w:p>
    <w:p w14:paraId="75443BA4" w14:textId="77777777" w:rsidR="00685C77" w:rsidRPr="00685C77" w:rsidRDefault="00685C77" w:rsidP="00685C77">
      <w:r w:rsidRPr="00685C77">
        <w:t>Réduire les coûts de coordination implique de simplifier l’organisation. Mais ce n’est pas la seule vertu que l’on peut attribuer à la simplification.</w:t>
      </w:r>
    </w:p>
    <w:p w14:paraId="55B1016E" w14:textId="77777777" w:rsidR="00685C77" w:rsidRPr="00685C77" w:rsidRDefault="00685C77" w:rsidP="00685C77">
      <w:r w:rsidRPr="00685C77">
        <w:t>Le problème de la coopération et de sa complexité au sein de l’organisation a été décrit par Melvin Conway, qui en a édicté une loi :</w:t>
      </w:r>
    </w:p>
    <w:p w14:paraId="0290C6BC" w14:textId="77777777" w:rsidR="00685C77" w:rsidRPr="00685C77" w:rsidRDefault="00685C77" w:rsidP="00685C77">
      <w:r w:rsidRPr="00685C77">
        <w:t>"Les organisations qui conçoivent des systèmes sont contraintes de produire des conceptions qui sont des copies des structures de communication de ces organisations"</w:t>
      </w:r>
    </w:p>
    <w:p w14:paraId="0724D1BF" w14:textId="77777777" w:rsidR="00685C77" w:rsidRPr="00685C77" w:rsidRDefault="00685C77" w:rsidP="00685C77">
      <w:r w:rsidRPr="00685C77">
        <w:t>Pour le dire simplement, une organisation complexe produit un système complexe. Pourquoi ? Parce que le système reproduit en lui-même la complexité de coordination qu’induisent les silos. Cela se traduit par des choix techniques qui répondent d’abord aux impératifs de coordination entre les chefs de projets, pour faire en fonction de la disponibilité des uns ou des autres, au détriment de la qualité et de la cohérence d’architecture de l’application.</w:t>
      </w:r>
    </w:p>
    <w:p w14:paraId="2A8F4FC0" w14:textId="77777777" w:rsidR="00685C77" w:rsidRPr="00685C77" w:rsidRDefault="00685C77" w:rsidP="00685C77">
      <w:r w:rsidRPr="00685C77">
        <w:t xml:space="preserve">Par exemple, les organisations nécessitant de plus gros efforts de coordination favoriseront une approche d’architecture monolithique pour leurs applications, parce qu’il est plus facile de coordonner un transfert d’application en une seule fois d’un silo vers un autre plutôt que pour de nombreux services autonomes. Même si l’application </w:t>
      </w:r>
      <w:r w:rsidRPr="00685C77">
        <w:lastRenderedPageBreak/>
        <w:t>est architecturée en services, elle ne sera transférée qu’en un seul morceau, ce qui diminuera considérablement la possibilité pour le receveur de réaliser des préconisations sans que cela entraîne des surcoûts importants. </w:t>
      </w:r>
    </w:p>
    <w:p w14:paraId="56F34E88" w14:textId="77777777" w:rsidR="00685C77" w:rsidRPr="00685C77" w:rsidRDefault="00685C77" w:rsidP="00685C77">
      <w:r w:rsidRPr="00685C77">
        <w:t xml:space="preserve">Autre exemple de complexité induite par l’organisation : dans une entreprise, le service études décide d’inclure des ingénieurs système au sein de son équipe afin de concevoir l’infrastructure technique des applications développées. Partant du principe que cela lui donne l’autonomie nécessaire pour développer rapidement les produits qui lui sont demandés, ils peuvent sélectionner et choisir les </w:t>
      </w:r>
      <w:proofErr w:type="spellStart"/>
      <w:r w:rsidRPr="00685C77">
        <w:t>frameworks</w:t>
      </w:r>
      <w:proofErr w:type="spellEnd"/>
      <w:r w:rsidRPr="00685C77">
        <w:t xml:space="preserve"> techniques qui leur semblent pertinents. Pour autant, les opérations doivent malgré tout recevoir les applications développées afin d’en assurer le déploiement et l’exploitation. Mais sans concertation préalable, les opérations n’ont pas pu anticiper le nouveau besoin technologique, et n’ont donc pas les compétences spécifiques pour intégrer les briques techniques dans les environnements existants, ni pour en assurer l’exploitation convenablement. Pire, certaines fonctions (comme c’est souvent le cas pour les middlewares et le stockage) sont déjà assurées par d’autres outils en production. </w:t>
      </w:r>
    </w:p>
    <w:p w14:paraId="4F18A789" w14:textId="77777777" w:rsidR="00685C77" w:rsidRPr="00685C77" w:rsidRDefault="00685C77" w:rsidP="00685C77">
      <w:r w:rsidRPr="00685C77">
        <w:t>Il en résulte d’une part une méconnaissance des outils par les opérations, ce qui conduira à de mauvaises implémentations et de mauvais usages. D’autre part, il leur faudra gérer une multitude d’outils techniques remplissant des rôles similaires, si ce n’est identiques, ce qui nécessite des compétences techniques spécifiques et redondantes et donc un alourdissement des coûts.</w:t>
      </w:r>
    </w:p>
    <w:p w14:paraId="7FE0191E" w14:textId="77777777" w:rsidR="00685C77" w:rsidRPr="00685C77" w:rsidRDefault="00685C77" w:rsidP="00685C77">
      <w:r w:rsidRPr="00685C77">
        <w:t>La complexité peut aussi apparaître au niveau fonctionnel, surtout dans les organisations ayant de multiples métiers qui sollicitent le service informatique de manière individuelle. Les silos étant préoccupés par des objectifs techniques propres et subissant chacun la pression des contraintes imposées par les métiers, il n’est pas rare qu’il n’y ait tout simplement pas de rationalisation fonctionnelle. Une application A demandée par le métier A et développée sous le contrôle d’un chef de projet A, recouvrira fonctionnellement une application B demandée par le métier B et développée par un chef de projet B. En l’absence d’architecte fonctionnel, il y a rapidement une inflation du nombre d’applications se recouvrant partiellement et parfois même complètement. Vu de l’extérieur et avec le temps, il devient difficile de comprendre quelle application doit être utilisée pour adresser un besoin métier spécifique.</w:t>
      </w:r>
    </w:p>
    <w:p w14:paraId="533098BF" w14:textId="3BF7C731" w:rsidR="00685C77" w:rsidRPr="00685C77" w:rsidRDefault="00685C77" w:rsidP="00685C77">
      <w:r w:rsidRPr="00685C77">
        <w:lastRenderedPageBreak/>
        <w:drawing>
          <wp:inline distT="0" distB="0" distL="0" distR="0" wp14:anchorId="7E96A4AA" wp14:editId="0B4D2CC6">
            <wp:extent cx="3657600" cy="6629400"/>
            <wp:effectExtent l="0" t="0" r="0" b="0"/>
            <wp:docPr id="338268342" name="Image 1" descr="Une image contenant texte, capture d’écran, diagramme, Parallè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268342" name="Image 1" descr="Une image contenant texte, capture d’écran, diagramme, Parallèle&#10;&#10;Le contenu généré par l’IA peut êtr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57600" cy="6629400"/>
                    </a:xfrm>
                    <a:prstGeom prst="rect">
                      <a:avLst/>
                    </a:prstGeom>
                    <a:noFill/>
                    <a:ln>
                      <a:noFill/>
                    </a:ln>
                  </pic:spPr>
                </pic:pic>
              </a:graphicData>
            </a:graphic>
          </wp:inline>
        </w:drawing>
      </w:r>
    </w:p>
    <w:p w14:paraId="0A60B32D" w14:textId="77777777" w:rsidR="00685C77" w:rsidRPr="00685C77" w:rsidRDefault="00685C77" w:rsidP="00685C77">
      <w:r w:rsidRPr="00685C77">
        <w:t xml:space="preserve">Les recouvrements fonctionnels et technologiques, qui émergent de la complexité organisationnelle, induisent une augmentation importante des coûts de maintenance et finissent par peser lourdement sur le budget global de l’IT. Le poids de la maintenance du système est alimenté par son entropie, c’est-à-dire sa propension à se désagréger de façon proportionnelle à l’augmentation de sa taille et de son âge. À terme, l’entreprise aura du mal à dégager du temps et des ressources pour les nouveaux projets innovants et pourrait même ne plus être en mesure de libérer des budgets pour rationaliser les piles technologiques et fonctionnelles. À ce moment, on peut considérer que le service IT est en faillite technique et financière au sein même de l’entreprise. Cet étouffement progressif des moyens de développement peut impacter la survie même de </w:t>
      </w:r>
      <w:r w:rsidRPr="00685C77">
        <w:lastRenderedPageBreak/>
        <w:t>l’entreprise qui ne peut plus assurer la continuité de ses opérations et encore moins de sa croissance.</w:t>
      </w:r>
    </w:p>
    <w:p w14:paraId="3AC68C61" w14:textId="77777777" w:rsidR="00685C77" w:rsidRPr="00685C77" w:rsidRDefault="00685C77" w:rsidP="00685C77">
      <w:r w:rsidRPr="00685C77">
        <w:t>La simplification passe par la suppression des silos, la création d’équipes pluridisciplinaires et autonomes, la décentralisation de la décision, le découplage des architectures techniques et la cohérence fonctionnelle des solutions.</w:t>
      </w:r>
    </w:p>
    <w:p w14:paraId="6E044691" w14:textId="77777777" w:rsidR="00685C77" w:rsidRPr="00685C77" w:rsidRDefault="00685C77" w:rsidP="00685C77">
      <w:r w:rsidRPr="00685C77">
        <w:t>Dans une organisation simplifiée, deux principes sont à mettre en œuvre :</w:t>
      </w:r>
    </w:p>
    <w:p w14:paraId="35142702" w14:textId="77777777" w:rsidR="00685C77" w:rsidRPr="00685C77" w:rsidRDefault="00685C77" w:rsidP="00685C77">
      <w:pPr>
        <w:numPr>
          <w:ilvl w:val="0"/>
          <w:numId w:val="2"/>
        </w:numPr>
      </w:pPr>
      <w:r w:rsidRPr="00685C77">
        <w:t>Le découplage systématique entre les systèmes liés aux opérations du business : chaque équipe intervenant dans la construction de la chaîne de valeur de l’entreprise doit être autonome au niveau organisationnel.</w:t>
      </w:r>
    </w:p>
    <w:p w14:paraId="612934CB" w14:textId="77777777" w:rsidR="00685C77" w:rsidRPr="00685C77" w:rsidRDefault="00685C77" w:rsidP="00685C77">
      <w:pPr>
        <w:numPr>
          <w:ilvl w:val="0"/>
          <w:numId w:val="2"/>
        </w:numPr>
      </w:pPr>
      <w:r w:rsidRPr="00685C77">
        <w:t>La mise en place d’un catalogue de services à la demande : chaque service développé doit exposer une interface vers les autres équipes afin d’être utilisé comme tel.</w:t>
      </w:r>
    </w:p>
    <w:p w14:paraId="04DB2B03" w14:textId="77777777" w:rsidR="00685C77" w:rsidRPr="00685C77" w:rsidRDefault="00685C77" w:rsidP="00685C77">
      <w:r w:rsidRPr="00685C77">
        <w:t>Ce découplage peut également être étendu à l’ensemble de l’entreprise en permettant l’autonomisation de nouvelles équipes internes et le développement de l’intrapreneuriat. L’entreprise devient alors un vivier d’entrepreneurs internes utilisant et valorisant l’ensemble des offres de service des autres équipes afin de proposer une offre de valeur spécifique.</w:t>
      </w:r>
    </w:p>
    <w:p w14:paraId="670DCEB4" w14:textId="77777777" w:rsidR="00685C77" w:rsidRPr="00685C77" w:rsidRDefault="00685C77" w:rsidP="00685C77">
      <w:r w:rsidRPr="00685C77">
        <w:t xml:space="preserve">Pour exemple, Bill Fisher relate l’histoire de la transformation de </w:t>
      </w:r>
      <w:proofErr w:type="spellStart"/>
      <w:r w:rsidRPr="00685C77">
        <w:t>Haier</w:t>
      </w:r>
      <w:proofErr w:type="spellEnd"/>
      <w:r w:rsidRPr="00685C77">
        <w:t xml:space="preserve"> (</w:t>
      </w:r>
      <w:hyperlink r:id="rId7" w:tgtFrame="_blank" w:history="1">
        <w:r w:rsidRPr="00685C77">
          <w:rPr>
            <w:rStyle w:val="Lienhypertexte"/>
          </w:rPr>
          <w:t>https://business-ecosystem-alliance.org/2021/05/20/ecosystems-as-an-engine-for-innovation-and-learning/</w:t>
        </w:r>
      </w:hyperlink>
      <w:r w:rsidRPr="00685C77">
        <w:t>) qui a redéfini son modèle organisationnel autour d’une galaxie de micro-entreprises internes autonomes. Cela est rendu possible grâce à l’interfaçage mis en place entre chaque micro-entreprise et le groupe lui-même. Les micro-entreprises peuvent utiliser les ressources de l’entreprise car elles sont disponibles en tant que services autonomes, qui forment un </w:t>
      </w:r>
      <w:proofErr w:type="spellStart"/>
      <w:r w:rsidRPr="00685C77">
        <w:rPr>
          <w:i/>
          <w:iCs/>
        </w:rPr>
        <w:t>Ecosystem</w:t>
      </w:r>
      <w:proofErr w:type="spellEnd"/>
      <w:r w:rsidRPr="00685C77">
        <w:rPr>
          <w:i/>
          <w:iCs/>
        </w:rPr>
        <w:t xml:space="preserve"> as </w:t>
      </w:r>
      <w:proofErr w:type="gramStart"/>
      <w:r w:rsidRPr="00685C77">
        <w:rPr>
          <w:i/>
          <w:iCs/>
        </w:rPr>
        <w:t>a</w:t>
      </w:r>
      <w:proofErr w:type="gramEnd"/>
      <w:r w:rsidRPr="00685C77">
        <w:rPr>
          <w:i/>
          <w:iCs/>
        </w:rPr>
        <w:t xml:space="preserve"> Service</w:t>
      </w:r>
      <w:r w:rsidRPr="00685C77">
        <w:t>.</w:t>
      </w:r>
    </w:p>
    <w:p w14:paraId="17BFCD93" w14:textId="77777777" w:rsidR="00685C77" w:rsidRPr="00685C77" w:rsidRDefault="00685C77" w:rsidP="00685C77">
      <w:r w:rsidRPr="00685C77">
        <w:t>3. Le problème du coût des interactions</w:t>
      </w:r>
    </w:p>
    <w:p w14:paraId="343E2F62" w14:textId="77777777" w:rsidR="00685C77" w:rsidRPr="00685C77" w:rsidRDefault="00685C77" w:rsidP="00685C77">
      <w:r w:rsidRPr="00685C77">
        <w:t xml:space="preserve">Le problème du coût des interactions a été mis en évidence lors de la montée en puissance d’Internet comme le tout premier levier permettant aux nouvelles entreprises technologiques de détrôner les grands tenants du marché. En 1999, John </w:t>
      </w:r>
      <w:proofErr w:type="spellStart"/>
      <w:r w:rsidRPr="00685C77">
        <w:t>Hagel</w:t>
      </w:r>
      <w:proofErr w:type="spellEnd"/>
      <w:r w:rsidRPr="00685C77">
        <w:t xml:space="preserve"> III et Marc Singer en analysent les raisons et expliquent au travers d’un article (</w:t>
      </w:r>
      <w:hyperlink r:id="rId8" w:tgtFrame="_blank" w:history="1">
        <w:r w:rsidRPr="00685C77">
          <w:rPr>
            <w:rStyle w:val="Lienhypertexte"/>
          </w:rPr>
          <w:t>https://hbr.org/1999/03/unbundling-the-corporation</w:t>
        </w:r>
      </w:hyperlink>
      <w:r w:rsidRPr="00685C77">
        <w:t>), pourquoi Internet a permis à des startups de challenger les acteurs historiques simplement en réduisant le coût des interactions internes mais aussi avec les clients.</w:t>
      </w:r>
    </w:p>
    <w:p w14:paraId="50AC982B" w14:textId="77777777" w:rsidR="00685C77" w:rsidRPr="00685C77" w:rsidRDefault="00685C77" w:rsidP="00685C77">
      <w:r w:rsidRPr="00685C77">
        <w:t xml:space="preserve">Ils expliquent que les interactions au sens large, c’est-à-dire tous les moments qui nous sont nécessaires pour échanger des biens, mais aussi des idées et des informations, constituent le point de friction de l’économie. À cette époque, il était clair que la technologie apportait soudainement un moyen de réduire le coût de ces interactions en apportant des outils pour interagir à distance, sans avoir besoin de réunions coûteuses </w:t>
      </w:r>
      <w:r w:rsidRPr="00685C77">
        <w:lastRenderedPageBreak/>
        <w:t>ou de processus bureaucratiques lourds. Toutes les décisions ont été soudainement accélérées en boostant littéralement la capacité des entreprises à investir et à créer d’autres services.</w:t>
      </w:r>
    </w:p>
    <w:p w14:paraId="08569419" w14:textId="77777777" w:rsidR="00685C77" w:rsidRPr="00685C77" w:rsidRDefault="00685C77" w:rsidP="00685C77">
      <w:r w:rsidRPr="00685C77">
        <w:t xml:space="preserve">Dans leur explication, Singer et </w:t>
      </w:r>
      <w:proofErr w:type="spellStart"/>
      <w:r w:rsidRPr="00685C77">
        <w:t>Hagel</w:t>
      </w:r>
      <w:proofErr w:type="spellEnd"/>
      <w:r w:rsidRPr="00685C77">
        <w:t xml:space="preserve"> pressentent que l’entreprise tendra à se simplifier pour survivre, en identifiant son vrai métier et en écartant toutes les activités internes qui induisent un coût d’interaction plus important que si elles étaient externalisées. C’est la théorie du dégroupage qui prédit une réorganisation des entreprises visant à les recentrer sur l’un des cœurs de métier parmi </w:t>
      </w:r>
      <w:proofErr w:type="spellStart"/>
      <w:r w:rsidRPr="00685C77">
        <w:t>parmi</w:t>
      </w:r>
      <w:proofErr w:type="spellEnd"/>
      <w:r w:rsidRPr="00685C77">
        <w:t xml:space="preserve"> la relation client, l’innovation, ou la gestion d’infrastructures, et à externaliser les autres.</w:t>
      </w:r>
    </w:p>
    <w:p w14:paraId="7C7C3AD3" w14:textId="77777777" w:rsidR="00685C77" w:rsidRPr="00685C77" w:rsidRDefault="00685C77" w:rsidP="00685C77">
      <w:r w:rsidRPr="00685C77">
        <w:t xml:space="preserve">Vingt ans plus tard, la révolution technologique et digitale a fait son chemin et a fait apparaître de nouveaux modèles économiques disruptifs qui ont permis de baisser drastiquement le coût d’interaction avec les clients. De nouveaux tenants ont pleinement profité de cette transformation, comme les GAFA bien sûr, mais aussi des entreprises comme Uber, Netflix, Spotify, </w:t>
      </w:r>
      <w:proofErr w:type="spellStart"/>
      <w:r w:rsidRPr="00685C77">
        <w:t>Etsy</w:t>
      </w:r>
      <w:proofErr w:type="spellEnd"/>
      <w:r w:rsidRPr="00685C77">
        <w:t>, et tant d’autres, qui ont réinventé la façon d’interagir avec les clients sur des métiers plus traditionnels. Désormais, la réduction des coûts d’interaction se situe dans l’organisation elle-même.</w:t>
      </w:r>
    </w:p>
    <w:p w14:paraId="44E9B640" w14:textId="77777777" w:rsidR="00685C77" w:rsidRPr="00685C77" w:rsidRDefault="00685C77" w:rsidP="00685C77">
      <w:r w:rsidRPr="00685C77">
        <w:t xml:space="preserve">Pour l’expliquer, on peut reprendre l’exemple </w:t>
      </w:r>
      <w:proofErr w:type="spellStart"/>
      <w:r w:rsidRPr="00685C77">
        <w:t>Cotradis</w:t>
      </w:r>
      <w:proofErr w:type="spellEnd"/>
      <w:r w:rsidRPr="00685C77">
        <w:t xml:space="preserve"> du chapitre Le mur de la confusion. Les échanges évoqués dans l’histoire du projet </w:t>
      </w:r>
      <w:proofErr w:type="spellStart"/>
      <w:r w:rsidRPr="00685C77">
        <w:t>Cotradis</w:t>
      </w:r>
      <w:proofErr w:type="spellEnd"/>
      <w:r w:rsidRPr="00685C77">
        <w:t xml:space="preserve"> sont volontairement décrits au niveau des services. L’idée est d’appréhender les problèmes avec une conceptualisation suffisamment élevée pour les rendre simples : le service MOA communique avec le service études qui communique avec le service production. Sur un organigramme, c’est très pratique à représenter.</w:t>
      </w:r>
    </w:p>
    <w:p w14:paraId="550189FE" w14:textId="77777777" w:rsidR="00685C77" w:rsidRPr="00685C77" w:rsidRDefault="00685C77" w:rsidP="00685C77">
      <w:r w:rsidRPr="00685C77">
        <w:t>Par ailleurs, même si cette communication croisée traduit des problèmes, tant que cela reste au niveau du service (ce qui pourrait s’apparenter à une personne morale), cela reste des problèmes systémiques, et non humains.</w:t>
      </w:r>
    </w:p>
    <w:p w14:paraId="3717BFD3" w14:textId="77777777" w:rsidR="00685C77" w:rsidRPr="00685C77" w:rsidRDefault="00685C77" w:rsidP="00685C77">
      <w:r w:rsidRPr="00685C77">
        <w:t>Mais cela cache un élément essentiel de la vraie vie des projets. Derrière chaque sollicitation d’un service par un autre, se trouvent des personnes ou des groupes de personnes, qui reçoivent les demandes, parfois au travers d’un outil tel qu’un ITSM. Ces personnes doivent prendre le temps de se réunir pour répondre aux demandes, de mettre le sujet à l’ordre du jour de différents comités, et éventuellement de statuer pour désigner un responsable prenant en compte la nouvelle demande. Si ce n’est pas possible, il faudra alors mandater un autre service (tel que les RH ou les achats) pour aller missionner un consultant externe ou embaucher une personne spécifiquement pour le projet. Puis il faudra d’autres réunions et d’autres comités avec les personnes des autres services qui ont eux-mêmes été mandatés pour traiter ce même sujet (en suivant un processus similaire). Chaque interaction coûte un temps supplémentaire, car elle nécessite une préparation, une réservation dans un agenda, une décision, puis un compte rendu vers les autres acteurs du projet.</w:t>
      </w:r>
    </w:p>
    <w:p w14:paraId="2526C05F" w14:textId="77777777" w:rsidR="00685C77" w:rsidRPr="00685C77" w:rsidRDefault="00685C77" w:rsidP="00685C77">
      <w:r w:rsidRPr="00685C77">
        <w:lastRenderedPageBreak/>
        <w:t>Enfin, il faudra réaliser un rapport des actions pour que chaque direction de service puisse avoir une vision claire de l’état d’avancement du projet. Il faudra probablement réaliser d’autres comités pour aligner chaque représentant de chaque service afin d’espérer donner à chaque direction une vision identique.</w:t>
      </w:r>
    </w:p>
    <w:p w14:paraId="5AAEB143" w14:textId="77777777" w:rsidR="00685C77" w:rsidRPr="00685C77" w:rsidRDefault="00685C77" w:rsidP="00685C77">
      <w:r w:rsidRPr="00685C77">
        <w:t>Plus il y a de services impliqués, plus il y a d’acteurs et donc plus il y a d’interactions. Chaque transfert du projet vers une nouvelle étape demande l’implication de nouveaux acteurs, la création de nouvelles instances de comités, et un nouveau transfert de connaissances.</w:t>
      </w:r>
    </w:p>
    <w:p w14:paraId="7AD32C61" w14:textId="77777777" w:rsidR="00685C77" w:rsidRPr="00685C77" w:rsidRDefault="00685C77" w:rsidP="00685C77">
      <w:r w:rsidRPr="00685C77">
        <w:t xml:space="preserve">Si vous relisez le passage relatant notre projet logistique pour </w:t>
      </w:r>
      <w:proofErr w:type="spellStart"/>
      <w:r w:rsidRPr="00685C77">
        <w:t>Cotradis</w:t>
      </w:r>
      <w:proofErr w:type="spellEnd"/>
      <w:r w:rsidRPr="00685C77">
        <w:t>, en prenant en compte les interactions nécessaires à chaque étape, chaque aller-retour entre les services et chaque transfert du projet vers un autre service, vous comprendrez sûrement qu’elles ont un impact important tant en termes de délai et de coûts, que de sources de dissonances et d’écarts de compréhension et de visibilité.</w:t>
      </w:r>
    </w:p>
    <w:p w14:paraId="04FF7A02" w14:textId="77777777" w:rsidR="00685C77" w:rsidRDefault="00685C77"/>
    <w:sectPr w:rsidR="00685C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36797"/>
    <w:multiLevelType w:val="multilevel"/>
    <w:tmpl w:val="C34E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E6E4E30"/>
    <w:multiLevelType w:val="multilevel"/>
    <w:tmpl w:val="A6ACC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14858985">
    <w:abstractNumId w:val="0"/>
  </w:num>
  <w:num w:numId="2" w16cid:durableId="1586374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C77"/>
    <w:rsid w:val="003027C9"/>
    <w:rsid w:val="00685C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3B5EB"/>
  <w15:chartTrackingRefBased/>
  <w15:docId w15:val="{3B3F44F4-3B06-4E51-AFE0-722AC65A7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85C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85C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85C7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85C7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85C7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85C7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85C7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85C7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85C7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85C7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85C7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85C7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85C7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85C7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85C7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85C7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85C7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85C77"/>
    <w:rPr>
      <w:rFonts w:eastAsiaTheme="majorEastAsia" w:cstheme="majorBidi"/>
      <w:color w:val="272727" w:themeColor="text1" w:themeTint="D8"/>
    </w:rPr>
  </w:style>
  <w:style w:type="paragraph" w:styleId="Titre">
    <w:name w:val="Title"/>
    <w:basedOn w:val="Normal"/>
    <w:next w:val="Normal"/>
    <w:link w:val="TitreCar"/>
    <w:uiPriority w:val="10"/>
    <w:qFormat/>
    <w:rsid w:val="00685C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85C7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85C7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85C7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85C77"/>
    <w:pPr>
      <w:spacing w:before="160"/>
      <w:jc w:val="center"/>
    </w:pPr>
    <w:rPr>
      <w:i/>
      <w:iCs/>
      <w:color w:val="404040" w:themeColor="text1" w:themeTint="BF"/>
    </w:rPr>
  </w:style>
  <w:style w:type="character" w:customStyle="1" w:styleId="CitationCar">
    <w:name w:val="Citation Car"/>
    <w:basedOn w:val="Policepardfaut"/>
    <w:link w:val="Citation"/>
    <w:uiPriority w:val="29"/>
    <w:rsid w:val="00685C77"/>
    <w:rPr>
      <w:i/>
      <w:iCs/>
      <w:color w:val="404040" w:themeColor="text1" w:themeTint="BF"/>
    </w:rPr>
  </w:style>
  <w:style w:type="paragraph" w:styleId="Paragraphedeliste">
    <w:name w:val="List Paragraph"/>
    <w:basedOn w:val="Normal"/>
    <w:uiPriority w:val="34"/>
    <w:qFormat/>
    <w:rsid w:val="00685C77"/>
    <w:pPr>
      <w:ind w:left="720"/>
      <w:contextualSpacing/>
    </w:pPr>
  </w:style>
  <w:style w:type="character" w:styleId="Accentuationintense">
    <w:name w:val="Intense Emphasis"/>
    <w:basedOn w:val="Policepardfaut"/>
    <w:uiPriority w:val="21"/>
    <w:qFormat/>
    <w:rsid w:val="00685C77"/>
    <w:rPr>
      <w:i/>
      <w:iCs/>
      <w:color w:val="0F4761" w:themeColor="accent1" w:themeShade="BF"/>
    </w:rPr>
  </w:style>
  <w:style w:type="paragraph" w:styleId="Citationintense">
    <w:name w:val="Intense Quote"/>
    <w:basedOn w:val="Normal"/>
    <w:next w:val="Normal"/>
    <w:link w:val="CitationintenseCar"/>
    <w:uiPriority w:val="30"/>
    <w:qFormat/>
    <w:rsid w:val="00685C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85C77"/>
    <w:rPr>
      <w:i/>
      <w:iCs/>
      <w:color w:val="0F4761" w:themeColor="accent1" w:themeShade="BF"/>
    </w:rPr>
  </w:style>
  <w:style w:type="character" w:styleId="Rfrenceintense">
    <w:name w:val="Intense Reference"/>
    <w:basedOn w:val="Policepardfaut"/>
    <w:uiPriority w:val="32"/>
    <w:qFormat/>
    <w:rsid w:val="00685C77"/>
    <w:rPr>
      <w:b/>
      <w:bCs/>
      <w:smallCaps/>
      <w:color w:val="0F4761" w:themeColor="accent1" w:themeShade="BF"/>
      <w:spacing w:val="5"/>
    </w:rPr>
  </w:style>
  <w:style w:type="character" w:styleId="Lienhypertexte">
    <w:name w:val="Hyperlink"/>
    <w:basedOn w:val="Policepardfaut"/>
    <w:uiPriority w:val="99"/>
    <w:unhideWhenUsed/>
    <w:rsid w:val="00685C77"/>
    <w:rPr>
      <w:color w:val="467886" w:themeColor="hyperlink"/>
      <w:u w:val="single"/>
    </w:rPr>
  </w:style>
  <w:style w:type="character" w:styleId="Mentionnonrsolue">
    <w:name w:val="Unresolved Mention"/>
    <w:basedOn w:val="Policepardfaut"/>
    <w:uiPriority w:val="99"/>
    <w:semiHidden/>
    <w:unhideWhenUsed/>
    <w:rsid w:val="00685C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5393587">
      <w:bodyDiv w:val="1"/>
      <w:marLeft w:val="0"/>
      <w:marRight w:val="0"/>
      <w:marTop w:val="0"/>
      <w:marBottom w:val="0"/>
      <w:divBdr>
        <w:top w:val="none" w:sz="0" w:space="0" w:color="auto"/>
        <w:left w:val="none" w:sz="0" w:space="0" w:color="auto"/>
        <w:bottom w:val="none" w:sz="0" w:space="0" w:color="auto"/>
        <w:right w:val="none" w:sz="0" w:space="0" w:color="auto"/>
      </w:divBdr>
      <w:divsChild>
        <w:div w:id="1698001614">
          <w:marLeft w:val="0"/>
          <w:marRight w:val="0"/>
          <w:marTop w:val="600"/>
          <w:marBottom w:val="0"/>
          <w:divBdr>
            <w:top w:val="none" w:sz="0" w:space="0" w:color="auto"/>
            <w:left w:val="none" w:sz="0" w:space="0" w:color="auto"/>
            <w:bottom w:val="none" w:sz="0" w:space="0" w:color="auto"/>
            <w:right w:val="none" w:sz="0" w:space="0" w:color="auto"/>
          </w:divBdr>
          <w:divsChild>
            <w:div w:id="1357197906">
              <w:marLeft w:val="0"/>
              <w:marRight w:val="0"/>
              <w:marTop w:val="0"/>
              <w:marBottom w:val="0"/>
              <w:divBdr>
                <w:top w:val="none" w:sz="0" w:space="0" w:color="auto"/>
                <w:left w:val="none" w:sz="0" w:space="0" w:color="auto"/>
                <w:bottom w:val="none" w:sz="0" w:space="0" w:color="auto"/>
                <w:right w:val="none" w:sz="0" w:space="0" w:color="auto"/>
              </w:divBdr>
              <w:divsChild>
                <w:div w:id="691221900">
                  <w:marLeft w:val="0"/>
                  <w:marRight w:val="0"/>
                  <w:marTop w:val="150"/>
                  <w:marBottom w:val="150"/>
                  <w:divBdr>
                    <w:top w:val="none" w:sz="0" w:space="0" w:color="auto"/>
                    <w:left w:val="none" w:sz="0" w:space="0" w:color="auto"/>
                    <w:bottom w:val="none" w:sz="0" w:space="0" w:color="auto"/>
                    <w:right w:val="none" w:sz="0" w:space="0" w:color="auto"/>
                  </w:divBdr>
                </w:div>
              </w:divsChild>
            </w:div>
            <w:div w:id="729308279">
              <w:marLeft w:val="150"/>
              <w:marRight w:val="0"/>
              <w:marTop w:val="0"/>
              <w:marBottom w:val="0"/>
              <w:divBdr>
                <w:top w:val="none" w:sz="0" w:space="0" w:color="auto"/>
                <w:left w:val="none" w:sz="0" w:space="0" w:color="auto"/>
                <w:bottom w:val="none" w:sz="0" w:space="0" w:color="auto"/>
                <w:right w:val="none" w:sz="0" w:space="0" w:color="auto"/>
              </w:divBdr>
            </w:div>
          </w:divsChild>
        </w:div>
        <w:div w:id="692154320">
          <w:marLeft w:val="0"/>
          <w:marRight w:val="0"/>
          <w:marTop w:val="600"/>
          <w:marBottom w:val="0"/>
          <w:divBdr>
            <w:top w:val="none" w:sz="0" w:space="0" w:color="auto"/>
            <w:left w:val="none" w:sz="0" w:space="0" w:color="auto"/>
            <w:bottom w:val="none" w:sz="0" w:space="0" w:color="auto"/>
            <w:right w:val="none" w:sz="0" w:space="0" w:color="auto"/>
          </w:divBdr>
          <w:divsChild>
            <w:div w:id="1338581164">
              <w:marLeft w:val="0"/>
              <w:marRight w:val="0"/>
              <w:marTop w:val="0"/>
              <w:marBottom w:val="0"/>
              <w:divBdr>
                <w:top w:val="none" w:sz="0" w:space="0" w:color="auto"/>
                <w:left w:val="none" w:sz="0" w:space="0" w:color="auto"/>
                <w:bottom w:val="none" w:sz="0" w:space="0" w:color="auto"/>
                <w:right w:val="none" w:sz="0" w:space="0" w:color="auto"/>
              </w:divBdr>
              <w:divsChild>
                <w:div w:id="2033916208">
                  <w:marLeft w:val="0"/>
                  <w:marRight w:val="0"/>
                  <w:marTop w:val="150"/>
                  <w:marBottom w:val="150"/>
                  <w:divBdr>
                    <w:top w:val="none" w:sz="0" w:space="0" w:color="auto"/>
                    <w:left w:val="none" w:sz="0" w:space="0" w:color="auto"/>
                    <w:bottom w:val="none" w:sz="0" w:space="0" w:color="auto"/>
                    <w:right w:val="none" w:sz="0" w:space="0" w:color="auto"/>
                  </w:divBdr>
                </w:div>
              </w:divsChild>
            </w:div>
            <w:div w:id="1652171709">
              <w:marLeft w:val="150"/>
              <w:marRight w:val="0"/>
              <w:marTop w:val="0"/>
              <w:marBottom w:val="0"/>
              <w:divBdr>
                <w:top w:val="none" w:sz="0" w:space="0" w:color="auto"/>
                <w:left w:val="none" w:sz="0" w:space="0" w:color="auto"/>
                <w:bottom w:val="none" w:sz="0" w:space="0" w:color="auto"/>
                <w:right w:val="none" w:sz="0" w:space="0" w:color="auto"/>
              </w:divBdr>
            </w:div>
          </w:divsChild>
        </w:div>
        <w:div w:id="927814354">
          <w:marLeft w:val="0"/>
          <w:marRight w:val="0"/>
          <w:marTop w:val="6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br.org/1999/03/unbundling-the-corporation" TargetMode="External"/><Relationship Id="rId3" Type="http://schemas.openxmlformats.org/officeDocument/2006/relationships/settings" Target="settings.xml"/><Relationship Id="rId7" Type="http://schemas.openxmlformats.org/officeDocument/2006/relationships/hyperlink" Target="https://business-ecosystem-alliance.org/2021/05/20/ecosystems-as-an-engine-for-innovation-and-learn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2224</Words>
  <Characters>12238</Characters>
  <Application>Microsoft Office Word</Application>
  <DocSecurity>0</DocSecurity>
  <Lines>101</Lines>
  <Paragraphs>28</Paragraphs>
  <ScaleCrop>false</ScaleCrop>
  <Company/>
  <LinksUpToDate>false</LinksUpToDate>
  <CharactersWithSpaces>14434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FAVOREL</dc:creator>
  <cp:keywords/>
  <dc:description/>
  <cp:lastModifiedBy>Jacques  FAVOREL</cp:lastModifiedBy>
  <cp:revision>1</cp:revision>
  <dcterms:created xsi:type="dcterms:W3CDTF">2025-04-22T10:46:00Z</dcterms:created>
  <dcterms:modified xsi:type="dcterms:W3CDTF">2025-04-22T10:47:00Z</dcterms:modified>
</cp:coreProperties>
</file>