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40D50" w14:textId="77777777" w:rsidR="0087171E" w:rsidRPr="0087171E" w:rsidRDefault="0087171E" w:rsidP="0087171E">
      <w:r w:rsidRPr="0087171E">
        <w:t>Le rollback</w:t>
      </w:r>
    </w:p>
    <w:p w14:paraId="3C2FA88E" w14:textId="77777777" w:rsidR="0087171E" w:rsidRPr="0087171E" w:rsidRDefault="0087171E" w:rsidP="0087171E">
      <w:r w:rsidRPr="0087171E">
        <w:t>Comme vu avec le déploiement bleu/vert, une stratégie simple de rollback consiste à mettre deux environnements côte à côte sur les deux dernières versions déployées en production et de permuter du plus récent au plus ancien en cas de retour arrière nécessaire.</w:t>
      </w:r>
    </w:p>
    <w:p w14:paraId="0B62180C" w14:textId="77777777" w:rsidR="0087171E" w:rsidRPr="0087171E" w:rsidRDefault="0087171E" w:rsidP="0087171E">
      <w:r w:rsidRPr="0087171E">
        <w:t>Mais il n’est pas toujours possible d’appliquer cette stratégie. Différentes possibilités se présentent alors :</w:t>
      </w:r>
    </w:p>
    <w:p w14:paraId="4D412A46" w14:textId="77777777" w:rsidR="0087171E" w:rsidRPr="0087171E" w:rsidRDefault="0087171E" w:rsidP="0087171E">
      <w:pPr>
        <w:numPr>
          <w:ilvl w:val="0"/>
          <w:numId w:val="1"/>
        </w:numPr>
      </w:pPr>
      <w:r w:rsidRPr="0087171E">
        <w:t xml:space="preserve">Exécuter un script qui permet à la plateforme de revenir à l’état -1. Ce type de rollback nécessite que le script de retour arrière soit prévu dans le développement de chaque nouvelle version. Il peut même être maintenu de façon continue en même temps que le développement de l’application. Il s’agira alors de remonter la version précédente à partir de la chaîne de CI/CD. La base de données pourra être réalignée sur la version précédente avec </w:t>
      </w:r>
      <w:proofErr w:type="spellStart"/>
      <w:r w:rsidRPr="0087171E">
        <w:t>Liquibase</w:t>
      </w:r>
      <w:proofErr w:type="spellEnd"/>
      <w:r w:rsidRPr="0087171E">
        <w:t>. Dans une architecture de services, il faudra s’assurer que tous les services sont bien remontés à partir d’une version antérieure dans un état compatible. La configuration de l’application dans le précédent état devra également être appliquée. Généralement, cela est intégré dans la chaîne de CI/CD.</w:t>
      </w:r>
    </w:p>
    <w:p w14:paraId="57FF95D2" w14:textId="77777777" w:rsidR="0087171E" w:rsidRPr="0087171E" w:rsidRDefault="0087171E" w:rsidP="0087171E">
      <w:r w:rsidRPr="0087171E">
        <w:t>Le plus gros écueil de ce type de rollback est le risque de revenir dans un état instable, notamment à cause du modèle de données. Il est en effet possible que des transactions aient été exécutées sur la nouvelle version mais ne soient pas réversibles sans une perte de cohérence. Nous revenons alors à la stratégie de gestion de bases de données vue au chapitre Les principes du CI/CD. Le plus simple peut être de remonter la base de données sur le dernier point de restauration réputé stable, au prix de la perte de quelques transactions.</w:t>
      </w:r>
    </w:p>
    <w:p w14:paraId="032383B1" w14:textId="77777777" w:rsidR="0087171E" w:rsidRPr="0087171E" w:rsidRDefault="0087171E" w:rsidP="0087171E">
      <w:pPr>
        <w:numPr>
          <w:ilvl w:val="0"/>
          <w:numId w:val="2"/>
        </w:numPr>
      </w:pPr>
      <w:r w:rsidRPr="0087171E">
        <w:t>Remonter l’environnement complètement en partant de rien. Cette procédure doit être testée en permanence car elle est le socle sécuritaire de toute stratégie d’automatisation. Néanmoins, dans de nombreuses applications, cette capacité n’existe pas. Pour revenir à un état, il est alors nécessaire de remonter une à une toutes les mises à jour effectuées jusqu’à cet état. Autant dire que le processus est à la fois pénible et risqué ! D’autant qu’au bout du compte il faudra réintégrer les données à partir d’un point de restauration réputé cohérent et le plus à jour possible.</w:t>
      </w:r>
    </w:p>
    <w:p w14:paraId="047FCE15" w14:textId="77777777" w:rsidR="0087171E" w:rsidRPr="0087171E" w:rsidRDefault="0087171E" w:rsidP="0087171E">
      <w:r w:rsidRPr="0087171E">
        <w:t xml:space="preserve">L’objectif pour une application entièrement automatisée est de pouvoir remonter automatiquement n’importe quelle version de l’application. Il est alors crucial d’être assuré que les données de la version sont dans un état cohérent. Cela passe par une stratégie de sauvegarde des données en étant le plus proche possible du temps réel et en alignant la version de structure des données avec celle de l’application. Il faut </w:t>
      </w:r>
      <w:r w:rsidRPr="0087171E">
        <w:lastRenderedPageBreak/>
        <w:t>également avoir la capacité de réinjecter des transactions à partir d’un journal, ou de rejouer des messages de persistance à partir d’un middleware de messaging.</w:t>
      </w:r>
    </w:p>
    <w:p w14:paraId="3611B8A0" w14:textId="77777777" w:rsidR="0087171E" w:rsidRPr="0087171E" w:rsidRDefault="0087171E" w:rsidP="0087171E">
      <w:pPr>
        <w:numPr>
          <w:ilvl w:val="0"/>
          <w:numId w:val="3"/>
        </w:numPr>
      </w:pPr>
      <w:r w:rsidRPr="0087171E">
        <w:t>Enfin, il existe une stratégie assez courante qui consiste à utiliser un environnement dédié au PRA (plan de reprise d’activité). Il est alors possible de l’utiliser dans une stratégie bleu/vert. Cet environnement peut être localisé dans un cloud privé ou public. Cependant, il est courant que l’environnement de PRA ne soit pas en statut "ON" en permanence. Il est concevable que l’environnement de backup soit à remonter entièrement à partir de la chaîne d’automatisation et d’un point de restauration. Cela dépend en partie des engagements de service liés à l’application.</w:t>
      </w:r>
    </w:p>
    <w:p w14:paraId="60E4970C" w14:textId="77777777" w:rsidR="0087171E" w:rsidRPr="0087171E" w:rsidRDefault="0087171E" w:rsidP="0087171E">
      <w:r w:rsidRPr="0087171E">
        <w:t xml:space="preserve">Quelle que soit la stratégie utilisée, la capacité de faire un rollback est une pierre angulaire du DevOps. En effet, le rollback permet d’accepter la prise de risque, sachant qu’un filet de </w:t>
      </w:r>
      <w:proofErr w:type="spellStart"/>
      <w:r w:rsidRPr="0087171E">
        <w:t>sécuritté</w:t>
      </w:r>
      <w:proofErr w:type="spellEnd"/>
      <w:r w:rsidRPr="0087171E">
        <w:t xml:space="preserve"> est toujours disponible. Cela rend acceptable le déploiement continu, ou le test d’une nouvelle fonctionnalité sur un échantillon d’utilisateurs. Le processus automatisé doit garantir que le coût de remontage d’une version antérieure de l’application est minime, voire transparent.</w:t>
      </w:r>
    </w:p>
    <w:p w14:paraId="1463C05A" w14:textId="77777777" w:rsidR="0087171E" w:rsidRDefault="0087171E"/>
    <w:sectPr w:rsidR="008717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0E5"/>
    <w:multiLevelType w:val="multilevel"/>
    <w:tmpl w:val="F2C4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FC5CE4"/>
    <w:multiLevelType w:val="multilevel"/>
    <w:tmpl w:val="C2745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5E5476"/>
    <w:multiLevelType w:val="multilevel"/>
    <w:tmpl w:val="EFB6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8037426">
    <w:abstractNumId w:val="1"/>
  </w:num>
  <w:num w:numId="2" w16cid:durableId="1578055954">
    <w:abstractNumId w:val="0"/>
  </w:num>
  <w:num w:numId="3" w16cid:durableId="2106143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1E"/>
    <w:rsid w:val="003027C9"/>
    <w:rsid w:val="008717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2AB4C"/>
  <w15:chartTrackingRefBased/>
  <w15:docId w15:val="{3C3B89D2-E4C4-4F7E-AB3C-8B7371718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717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717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7171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7171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7171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7171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7171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7171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7171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171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7171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7171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7171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7171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7171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7171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7171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7171E"/>
    <w:rPr>
      <w:rFonts w:eastAsiaTheme="majorEastAsia" w:cstheme="majorBidi"/>
      <w:color w:val="272727" w:themeColor="text1" w:themeTint="D8"/>
    </w:rPr>
  </w:style>
  <w:style w:type="paragraph" w:styleId="Titre">
    <w:name w:val="Title"/>
    <w:basedOn w:val="Normal"/>
    <w:next w:val="Normal"/>
    <w:link w:val="TitreCar"/>
    <w:uiPriority w:val="10"/>
    <w:qFormat/>
    <w:rsid w:val="008717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7171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7171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7171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7171E"/>
    <w:pPr>
      <w:spacing w:before="160"/>
      <w:jc w:val="center"/>
    </w:pPr>
    <w:rPr>
      <w:i/>
      <w:iCs/>
      <w:color w:val="404040" w:themeColor="text1" w:themeTint="BF"/>
    </w:rPr>
  </w:style>
  <w:style w:type="character" w:customStyle="1" w:styleId="CitationCar">
    <w:name w:val="Citation Car"/>
    <w:basedOn w:val="Policepardfaut"/>
    <w:link w:val="Citation"/>
    <w:uiPriority w:val="29"/>
    <w:rsid w:val="0087171E"/>
    <w:rPr>
      <w:i/>
      <w:iCs/>
      <w:color w:val="404040" w:themeColor="text1" w:themeTint="BF"/>
    </w:rPr>
  </w:style>
  <w:style w:type="paragraph" w:styleId="Paragraphedeliste">
    <w:name w:val="List Paragraph"/>
    <w:basedOn w:val="Normal"/>
    <w:uiPriority w:val="34"/>
    <w:qFormat/>
    <w:rsid w:val="0087171E"/>
    <w:pPr>
      <w:ind w:left="720"/>
      <w:contextualSpacing/>
    </w:pPr>
  </w:style>
  <w:style w:type="character" w:styleId="Accentuationintense">
    <w:name w:val="Intense Emphasis"/>
    <w:basedOn w:val="Policepardfaut"/>
    <w:uiPriority w:val="21"/>
    <w:qFormat/>
    <w:rsid w:val="0087171E"/>
    <w:rPr>
      <w:i/>
      <w:iCs/>
      <w:color w:val="0F4761" w:themeColor="accent1" w:themeShade="BF"/>
    </w:rPr>
  </w:style>
  <w:style w:type="paragraph" w:styleId="Citationintense">
    <w:name w:val="Intense Quote"/>
    <w:basedOn w:val="Normal"/>
    <w:next w:val="Normal"/>
    <w:link w:val="CitationintenseCar"/>
    <w:uiPriority w:val="30"/>
    <w:qFormat/>
    <w:rsid w:val="008717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7171E"/>
    <w:rPr>
      <w:i/>
      <w:iCs/>
      <w:color w:val="0F4761" w:themeColor="accent1" w:themeShade="BF"/>
    </w:rPr>
  </w:style>
  <w:style w:type="character" w:styleId="Rfrenceintense">
    <w:name w:val="Intense Reference"/>
    <w:basedOn w:val="Policepardfaut"/>
    <w:uiPriority w:val="32"/>
    <w:qFormat/>
    <w:rsid w:val="008717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137269">
      <w:bodyDiv w:val="1"/>
      <w:marLeft w:val="0"/>
      <w:marRight w:val="0"/>
      <w:marTop w:val="0"/>
      <w:marBottom w:val="0"/>
      <w:divBdr>
        <w:top w:val="none" w:sz="0" w:space="0" w:color="auto"/>
        <w:left w:val="none" w:sz="0" w:space="0" w:color="auto"/>
        <w:bottom w:val="none" w:sz="0" w:space="0" w:color="auto"/>
        <w:right w:val="none" w:sz="0" w:space="0" w:color="auto"/>
      </w:divBdr>
      <w:divsChild>
        <w:div w:id="1713385145">
          <w:marLeft w:val="150"/>
          <w:marRight w:val="0"/>
          <w:marTop w:val="0"/>
          <w:marBottom w:val="0"/>
          <w:divBdr>
            <w:top w:val="none" w:sz="0" w:space="0" w:color="auto"/>
            <w:left w:val="none" w:sz="0" w:space="0" w:color="auto"/>
            <w:bottom w:val="none" w:sz="0" w:space="0" w:color="auto"/>
            <w:right w:val="none" w:sz="0" w:space="0" w:color="auto"/>
          </w:divBdr>
        </w:div>
        <w:div w:id="639697497">
          <w:marLeft w:val="150"/>
          <w:marRight w:val="0"/>
          <w:marTop w:val="0"/>
          <w:marBottom w:val="0"/>
          <w:divBdr>
            <w:top w:val="none" w:sz="0" w:space="0" w:color="auto"/>
            <w:left w:val="none" w:sz="0" w:space="0" w:color="auto"/>
            <w:bottom w:val="none" w:sz="0" w:space="0" w:color="auto"/>
            <w:right w:val="none" w:sz="0" w:space="0" w:color="auto"/>
          </w:divBdr>
        </w:div>
        <w:div w:id="1037005856">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3306</Characters>
  <Application>Microsoft Office Word</Application>
  <DocSecurity>0</DocSecurity>
  <Lines>27</Lines>
  <Paragraphs>7</Paragraphs>
  <ScaleCrop>false</ScaleCrop>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2025-04-22T10:54:00Z</dcterms:created>
  <dcterms:modified xsi:type="dcterms:W3CDTF">2025-04-22T10:54:00Z</dcterms:modified>
</cp:coreProperties>
</file>