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79E3C" w14:textId="77777777" w:rsidR="003E02D5" w:rsidRPr="003E02D5" w:rsidRDefault="003E02D5" w:rsidP="003E02D5">
      <w:r w:rsidRPr="003E02D5">
        <w:t>Le mur de la confusion : changement contre stabilité</w:t>
      </w:r>
    </w:p>
    <w:p w14:paraId="6FCE5A68" w14:textId="77777777" w:rsidR="003E02D5" w:rsidRPr="003E02D5" w:rsidRDefault="003E02D5" w:rsidP="003E02D5">
      <w:r w:rsidRPr="003E02D5">
        <w:t>1. Les tensions internes</w:t>
      </w:r>
    </w:p>
    <w:p w14:paraId="5A6F3639" w14:textId="77777777" w:rsidR="003E02D5" w:rsidRPr="003E02D5" w:rsidRDefault="003E02D5" w:rsidP="003E02D5">
      <w:r w:rsidRPr="003E02D5">
        <w:t xml:space="preserve">Notre exemple de projet chez </w:t>
      </w:r>
      <w:proofErr w:type="spellStart"/>
      <w:r w:rsidRPr="003E02D5">
        <w:t>Cotradis</w:t>
      </w:r>
      <w:proofErr w:type="spellEnd"/>
      <w:r w:rsidRPr="003E02D5">
        <w:t xml:space="preserve"> vous paraît peut-être un peu sombre, mais par expérience, c’est une configuration fréquente. Nous le reverrons plus tard, mais les études menées au niveau international mettent en évidence un taux d’échec de 80 % des projets informatiques. Et, malheureusement, le cheminement de </w:t>
      </w:r>
      <w:proofErr w:type="spellStart"/>
      <w:r w:rsidRPr="003E02D5">
        <w:t>Cotradis</w:t>
      </w:r>
      <w:proofErr w:type="spellEnd"/>
      <w:r w:rsidRPr="003E02D5">
        <w:t xml:space="preserve"> est assez classique.</w:t>
      </w:r>
    </w:p>
    <w:p w14:paraId="77801F04" w14:textId="77777777" w:rsidR="003E02D5" w:rsidRPr="003E02D5" w:rsidRDefault="003E02D5" w:rsidP="003E02D5">
      <w:r w:rsidRPr="003E02D5">
        <w:t>Il serait nécessaire d’apprendre de ces problèmes mais, dans les organisations en silos, un échec est rarement considéré dans son ensemble. La notion d’échec est elle-même sujette à débat et c’est sans doute le premier constat sur lequel l’organisation devra se mettre d’accord. Mais chacun analyse la situation en fonction de sa perspective. Assister à une session de retour d’expérience ou un post-mortem est édifiant. L’habitude des projets en échec est tellement ancrée que l’on finit par adjoindre un terme morbide à une simple réunion de débriefing…</w:t>
      </w:r>
    </w:p>
    <w:p w14:paraId="0932D564" w14:textId="77777777" w:rsidR="003E02D5" w:rsidRPr="003E02D5" w:rsidRDefault="003E02D5" w:rsidP="003E02D5">
      <w:r w:rsidRPr="003E02D5">
        <w:t xml:space="preserve">Lors d’un retour d’expérience vous pourrez, ou avez, sûrement constaté que chacun apporte sa vision des problèmes. La MOA assure que le périmètre était convenablement dressé et que la vision ainsi que les enjeux étaient clairement </w:t>
      </w:r>
      <w:proofErr w:type="gramStart"/>
      <w:r w:rsidRPr="003E02D5">
        <w:t>énoncés</w:t>
      </w:r>
      <w:proofErr w:type="gramEnd"/>
      <w:r w:rsidRPr="003E02D5">
        <w:t xml:space="preserve">. Les études argueront d’avoir mobilisé les ressources suffisantes, d’avoir mené les activités qu’elles s’étaient engagées à réaliser et d’avoir livré le produit dans le meilleur délai possible en tenant compte des nombreux changements qui lui ont été demandés en cours de développement. Les opérations mettront en évidence la pauvreté des éléments qui leur ont été transmis et qui les ont empêché d’effectuer correctement leur travail, conduisant à la construction d’une application à la fois critique et fragile. </w:t>
      </w:r>
      <w:proofErr w:type="gramStart"/>
      <w:r w:rsidRPr="003E02D5">
        <w:t>Au final</w:t>
      </w:r>
      <w:proofErr w:type="gramEnd"/>
      <w:r w:rsidRPr="003E02D5">
        <w:t xml:space="preserve">, la MOA finira par s’engager à produire une meilleure analyse et à être encore plus précise et pointue dans son expression de besoin pour les prochains </w:t>
      </w:r>
      <w:proofErr w:type="gramStart"/>
      <w:r w:rsidRPr="003E02D5">
        <w:t>projets .</w:t>
      </w:r>
      <w:proofErr w:type="gramEnd"/>
      <w:r w:rsidRPr="003E02D5">
        <w:t xml:space="preserve"> Les études s’assureront de ne plus accepter de demandes en cours de développement afin de conserver le temps nécessaire pour produire un livrable de qualité. Les opérations s’engageront à ne plus accepter de livraison sans la documentation la plus exhaustive possible qui lui permette de réaliser son travail correctement. Le décor est planté pour un nouveau désastre !</w:t>
      </w:r>
    </w:p>
    <w:p w14:paraId="7E311765" w14:textId="77777777" w:rsidR="003E02D5" w:rsidRPr="003E02D5" w:rsidRDefault="003E02D5" w:rsidP="003E02D5">
      <w:r w:rsidRPr="003E02D5">
        <w:t>2. Le mur de la confusion</w:t>
      </w:r>
    </w:p>
    <w:p w14:paraId="3C5B7521" w14:textId="77777777" w:rsidR="003E02D5" w:rsidRPr="003E02D5" w:rsidRDefault="003E02D5" w:rsidP="003E02D5">
      <w:r w:rsidRPr="003E02D5">
        <w:t>Dans le contexte de frictions entre les services et de rejet mutuel des responsabilités sur le résultat final, chacun va donc se replier sur les contrats qui le lient aux autres. Et, en particulier, les opérations vont utiliser une instance interne en charge de filtrer le passage des demandes changement : le CAB (</w:t>
      </w:r>
      <w:r w:rsidRPr="003E02D5">
        <w:rPr>
          <w:i/>
          <w:iCs/>
        </w:rPr>
        <w:t xml:space="preserve">change </w:t>
      </w:r>
      <w:proofErr w:type="spellStart"/>
      <w:r w:rsidRPr="003E02D5">
        <w:rPr>
          <w:i/>
          <w:iCs/>
        </w:rPr>
        <w:t>advisory</w:t>
      </w:r>
      <w:proofErr w:type="spellEnd"/>
      <w:r w:rsidRPr="003E02D5">
        <w:rPr>
          <w:i/>
          <w:iCs/>
        </w:rPr>
        <w:t xml:space="preserve"> </w:t>
      </w:r>
      <w:proofErr w:type="spellStart"/>
      <w:r w:rsidRPr="003E02D5">
        <w:rPr>
          <w:i/>
          <w:iCs/>
        </w:rPr>
        <w:t>board</w:t>
      </w:r>
      <w:proofErr w:type="spellEnd"/>
      <w:r w:rsidRPr="003E02D5">
        <w:t>, ou comité d’approbation des changements dans la version française). Cette instance issue du monde ITIL vise à s’assurer que chaque demande entrante remplit bien les conditions qu’elle estime nécessaires à son approbation.</w:t>
      </w:r>
    </w:p>
    <w:p w14:paraId="1BA93B26" w14:textId="77777777" w:rsidR="003E02D5" w:rsidRPr="003E02D5" w:rsidRDefault="003E02D5" w:rsidP="003E02D5">
      <w:r w:rsidRPr="003E02D5">
        <w:lastRenderedPageBreak/>
        <w:t>Ces conditions sont :</w:t>
      </w:r>
    </w:p>
    <w:p w14:paraId="464ED135" w14:textId="77777777" w:rsidR="003E02D5" w:rsidRPr="003E02D5" w:rsidRDefault="003E02D5" w:rsidP="003E02D5">
      <w:pPr>
        <w:numPr>
          <w:ilvl w:val="0"/>
          <w:numId w:val="1"/>
        </w:numPr>
      </w:pPr>
      <w:proofErr w:type="gramStart"/>
      <w:r w:rsidRPr="003E02D5">
        <w:t>une</w:t>
      </w:r>
      <w:proofErr w:type="gramEnd"/>
      <w:r w:rsidRPr="003E02D5">
        <w:t xml:space="preserve"> documentation exhaustive (telle que définie dans la section La réception du produit et les choix techniques) ;</w:t>
      </w:r>
    </w:p>
    <w:p w14:paraId="58BCC521" w14:textId="77777777" w:rsidR="003E02D5" w:rsidRPr="003E02D5" w:rsidRDefault="003E02D5" w:rsidP="003E02D5">
      <w:pPr>
        <w:numPr>
          <w:ilvl w:val="0"/>
          <w:numId w:val="1"/>
        </w:numPr>
      </w:pPr>
      <w:proofErr w:type="gramStart"/>
      <w:r w:rsidRPr="003E02D5">
        <w:t>un</w:t>
      </w:r>
      <w:proofErr w:type="gramEnd"/>
      <w:r w:rsidRPr="003E02D5">
        <w:t xml:space="preserve"> audit technique du changement ;</w:t>
      </w:r>
    </w:p>
    <w:p w14:paraId="5CE36BE3" w14:textId="77777777" w:rsidR="003E02D5" w:rsidRPr="003E02D5" w:rsidRDefault="003E02D5" w:rsidP="003E02D5">
      <w:pPr>
        <w:numPr>
          <w:ilvl w:val="0"/>
          <w:numId w:val="1"/>
        </w:numPr>
      </w:pPr>
      <w:proofErr w:type="gramStart"/>
      <w:r w:rsidRPr="003E02D5">
        <w:t>l’étude</w:t>
      </w:r>
      <w:proofErr w:type="gramEnd"/>
      <w:r w:rsidRPr="003E02D5">
        <w:t xml:space="preserve"> d’impact sur les autres applications du SI et leur conséquence sur le métier.</w:t>
      </w:r>
    </w:p>
    <w:p w14:paraId="1BAEC8B2" w14:textId="77777777" w:rsidR="003E02D5" w:rsidRPr="003E02D5" w:rsidRDefault="003E02D5" w:rsidP="003E02D5">
      <w:r w:rsidRPr="003E02D5">
        <w:t>Autrement dit, le CAB dispose du droit de vie ou de mort sur toute demande de changement devant avoir lieu sur l’environnement de production.</w:t>
      </w:r>
    </w:p>
    <w:p w14:paraId="1B56175A" w14:textId="77777777" w:rsidR="003E02D5" w:rsidRPr="003E02D5" w:rsidRDefault="003E02D5" w:rsidP="003E02D5">
      <w:r w:rsidRPr="003E02D5">
        <w:t xml:space="preserve">Au regard de notre expérience sur le projet </w:t>
      </w:r>
      <w:proofErr w:type="spellStart"/>
      <w:r w:rsidRPr="003E02D5">
        <w:t>Cotradis</w:t>
      </w:r>
      <w:proofErr w:type="spellEnd"/>
      <w:r w:rsidRPr="003E02D5">
        <w:t>, cette mesure paraît tout à fait légitime. Avoir une instance qui mesure les conséquences de chaque changement avant de l’appliquer peut simplement permettre d’éviter un désastre et une panne prolongée du système mis à jour, ou un impact plus large et massif sur tout le système de production de l’entreprise !</w:t>
      </w:r>
    </w:p>
    <w:p w14:paraId="50CAA47F" w14:textId="77777777" w:rsidR="003E02D5" w:rsidRPr="003E02D5" w:rsidRDefault="003E02D5" w:rsidP="003E02D5">
      <w:r w:rsidRPr="003E02D5">
        <w:t>L’objectif pour le service opérations c’est de s’assurer que le système d’information, dans sa globalité, est le plus stable possible, malgré le fait que certaines applications ont été installées sous une pression déraisonnable et dans des conditions de qualité médiocre. Le service opérations doit s’organiser pour stabiliser l’ensemble et éviter les ruptures de service.</w:t>
      </w:r>
    </w:p>
    <w:p w14:paraId="09157CF3" w14:textId="77777777" w:rsidR="003E02D5" w:rsidRPr="003E02D5" w:rsidRDefault="003E02D5" w:rsidP="003E02D5">
      <w:r w:rsidRPr="003E02D5">
        <w:t>De son côté, le service études renforce sa capacité à prévoir et à planifier l’atterrissage des projets. Cela va de la conception au déploiement. De sa capacité de production dépend la quantité de demandes qui pourront être prises en compte. C’est donc une activité clé qui permet d’assurer que le service informatique est suffisamment productif pour permettre à l’entreprise dans son ensemble d’innover dans son cœur de métier. Il va donc contraindre les opérations à fixer des engagements de disponibilité des ressources et de délai de mise en production.</w:t>
      </w:r>
    </w:p>
    <w:p w14:paraId="18671D78" w14:textId="77777777" w:rsidR="003E02D5" w:rsidRPr="003E02D5" w:rsidRDefault="003E02D5" w:rsidP="003E02D5">
      <w:r w:rsidRPr="003E02D5">
        <w:t>In fine, l’objectif des études est de permettre de déployer l’ensemble des changements issus des demandes du métier afin de répondre aux besoins de l’entreprise en termes d’innovation et d’adaptabilité au marché.</w:t>
      </w:r>
    </w:p>
    <w:p w14:paraId="46E237FF" w14:textId="77777777" w:rsidR="003E02D5" w:rsidRPr="003E02D5" w:rsidRDefault="003E02D5" w:rsidP="003E02D5">
      <w:r w:rsidRPr="003E02D5">
        <w:t>Cet antagonisme et la divergence qu’il représente quant à l’appréciation de l’objectif est nommé le mur de la confusion. Il symbolise la barrière psychologique et opérationnelle entre les études et les opérations et se caractérise par les éléments suivants :</w:t>
      </w:r>
    </w:p>
    <w:p w14:paraId="6F8AFC56" w14:textId="77777777" w:rsidR="003E02D5" w:rsidRPr="003E02D5" w:rsidRDefault="003E02D5" w:rsidP="003E02D5">
      <w:pPr>
        <w:numPr>
          <w:ilvl w:val="0"/>
          <w:numId w:val="2"/>
        </w:numPr>
      </w:pPr>
      <w:r w:rsidRPr="003E02D5">
        <w:t>Chacun cherche à atteindre son objectif propre.</w:t>
      </w:r>
    </w:p>
    <w:p w14:paraId="41FF731E" w14:textId="77777777" w:rsidR="003E02D5" w:rsidRPr="003E02D5" w:rsidRDefault="003E02D5" w:rsidP="003E02D5">
      <w:pPr>
        <w:numPr>
          <w:ilvl w:val="0"/>
          <w:numId w:val="2"/>
        </w:numPr>
      </w:pPr>
      <w:r w:rsidRPr="003E02D5">
        <w:t>Chacun présente ses exigences procédurales, au regard du seul besoin d’optimiser son activité pour atteindre son objectif propre.</w:t>
      </w:r>
    </w:p>
    <w:p w14:paraId="7FF013BF" w14:textId="77777777" w:rsidR="003E02D5" w:rsidRPr="003E02D5" w:rsidRDefault="003E02D5" w:rsidP="003E02D5">
      <w:pPr>
        <w:numPr>
          <w:ilvl w:val="0"/>
          <w:numId w:val="2"/>
        </w:numPr>
      </w:pPr>
      <w:r w:rsidRPr="003E02D5">
        <w:t>Le flux de communication et d’interactions est limité à l’exigence procédurale.</w:t>
      </w:r>
    </w:p>
    <w:p w14:paraId="38327C06" w14:textId="15E2E947" w:rsidR="003E02D5" w:rsidRPr="003E02D5" w:rsidRDefault="003E02D5" w:rsidP="003E02D5">
      <w:r w:rsidRPr="003E02D5">
        <w:lastRenderedPageBreak/>
        <w:drawing>
          <wp:inline distT="0" distB="0" distL="0" distR="0" wp14:anchorId="7C6930F2" wp14:editId="07F61E09">
            <wp:extent cx="5619750" cy="2962275"/>
            <wp:effectExtent l="0" t="0" r="0" b="9525"/>
            <wp:docPr id="125617704" name="Image 1" descr="Une image contenant capture d’écran,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17704" name="Image 1" descr="Une image contenant capture d’écran, conception&#10;&#10;Le contenu généré par l’IA peut êtr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0" cy="2962275"/>
                    </a:xfrm>
                    <a:prstGeom prst="rect">
                      <a:avLst/>
                    </a:prstGeom>
                    <a:noFill/>
                    <a:ln>
                      <a:noFill/>
                    </a:ln>
                  </pic:spPr>
                </pic:pic>
              </a:graphicData>
            </a:graphic>
          </wp:inline>
        </w:drawing>
      </w:r>
    </w:p>
    <w:p w14:paraId="03CCD2EB" w14:textId="77777777" w:rsidR="003E02D5" w:rsidRPr="003E02D5" w:rsidRDefault="003E02D5" w:rsidP="003E02D5">
      <w:r w:rsidRPr="003E02D5">
        <w:t>3. Les conséquences</w:t>
      </w:r>
    </w:p>
    <w:p w14:paraId="63C42197" w14:textId="77777777" w:rsidR="003E02D5" w:rsidRPr="003E02D5" w:rsidRDefault="003E02D5" w:rsidP="003E02D5">
      <w:r w:rsidRPr="003E02D5">
        <w:t xml:space="preserve">L’expérience </w:t>
      </w:r>
      <w:proofErr w:type="spellStart"/>
      <w:r w:rsidRPr="003E02D5">
        <w:t>Cotradis</w:t>
      </w:r>
      <w:proofErr w:type="spellEnd"/>
      <w:r w:rsidRPr="003E02D5">
        <w:t xml:space="preserve"> montre que la phase de transfert de connaissances entre les études et les opérations est cruciale. Nombre d’informations seront nécessaires aux opérations pour régler l’ensemble des problèmes auxquels elles vont devoir faire face. Si ces informations ne circulent pas dès le début du projet, il est malheureusement à craindre que les moments de pression qui arriveront plus tard lors du développement empêchent toute opportunité de prendre du temps à ces synchronisations. Ce sont des informations essentielles qui ne seront pas transmises.</w:t>
      </w:r>
    </w:p>
    <w:p w14:paraId="76497BBD" w14:textId="77777777" w:rsidR="003E02D5" w:rsidRPr="003E02D5" w:rsidRDefault="003E02D5" w:rsidP="003E02D5">
      <w:r w:rsidRPr="003E02D5">
        <w:t>Une autre étape déterminante dans les organisations silotées est celle du transfert. C’est ce moment particulier où un service a rempli son rôle et passe le relais au service suivant. Le plus intéressant ici est le moment où les études livrent l’application aux opérations. Dans l’idéal, des ateliers sont organisés pour expliquer les éléments constitutifs de ce qui est écrit dans la documentation, l’objectif étant véritablement de transférer de la compétence et de la connaissance.</w:t>
      </w:r>
    </w:p>
    <w:p w14:paraId="7C1CF259" w14:textId="77777777" w:rsidR="003E02D5" w:rsidRPr="003E02D5" w:rsidRDefault="003E02D5" w:rsidP="003E02D5">
      <w:r w:rsidRPr="003E02D5">
        <w:t>Mais pour cela, il faut que les équipes aient un niveau de collaboration relativement élevé, et qu’elles se fassent confiance. Ce transfert pose par ailleurs un autre problème : si les opérations décèlent des erreurs d’architecture ou d’incompatibilité avec les normes des opérations, que convient-il de faire alors que le travail de développement est terminé et que partir dans un cycle de reconstruction mettra en péril l’engagement du délai de livraison ? De plus, ces boucles de rétroaction vers les études encombreront la capacité du service à réaliser les autres projets de l’entreprise provoquant des retards en chaîne et des accumulations de demandes.</w:t>
      </w:r>
    </w:p>
    <w:p w14:paraId="7D8A47B9" w14:textId="77777777" w:rsidR="003E02D5" w:rsidRPr="003E02D5" w:rsidRDefault="003E02D5" w:rsidP="003E02D5">
      <w:r w:rsidRPr="003E02D5">
        <w:t xml:space="preserve">Enfin, le mur de la confusion prive les équipes études d’un savoir-faire important, celui des équipes des opérations, qui pourraient très rapidement partager des informations essentielles pour gérer les environnements de la façon la plus efficace possible, </w:t>
      </w:r>
      <w:r w:rsidRPr="003E02D5">
        <w:lastRenderedPageBreak/>
        <w:t xml:space="preserve">contribuant ainsi à développer des applications robustes, mieux configurables, plus performantes. Cette perte de compétence a un impact important sur la qualité des applications, comme a pu le montrer le cas </w:t>
      </w:r>
      <w:proofErr w:type="spellStart"/>
      <w:r w:rsidRPr="003E02D5">
        <w:t>Cotradis</w:t>
      </w:r>
      <w:proofErr w:type="spellEnd"/>
      <w:r w:rsidRPr="003E02D5">
        <w:t>.</w:t>
      </w:r>
    </w:p>
    <w:p w14:paraId="3CEE8D1A" w14:textId="77777777" w:rsidR="003E02D5" w:rsidRPr="003E02D5" w:rsidRDefault="003E02D5" w:rsidP="003E02D5">
      <w:r w:rsidRPr="003E02D5">
        <w:t>En somme, le mur de la confusion génère d’importantes conséquences :</w:t>
      </w:r>
    </w:p>
    <w:p w14:paraId="26A7F2E4" w14:textId="77777777" w:rsidR="003E02D5" w:rsidRPr="003E02D5" w:rsidRDefault="003E02D5" w:rsidP="003E02D5">
      <w:pPr>
        <w:numPr>
          <w:ilvl w:val="0"/>
          <w:numId w:val="3"/>
        </w:numPr>
      </w:pPr>
      <w:r w:rsidRPr="003E02D5">
        <w:t>Il coupe la communication entre les services études et opérations.</w:t>
      </w:r>
    </w:p>
    <w:p w14:paraId="141DE381" w14:textId="77777777" w:rsidR="003E02D5" w:rsidRPr="003E02D5" w:rsidRDefault="003E02D5" w:rsidP="003E02D5">
      <w:pPr>
        <w:numPr>
          <w:ilvl w:val="0"/>
          <w:numId w:val="3"/>
        </w:numPr>
      </w:pPr>
      <w:r w:rsidRPr="003E02D5">
        <w:t>Il prive les opérations d’importantes informations nécessaires pour résoudre les problèmes liés à la mise en production et à la maintenance.</w:t>
      </w:r>
    </w:p>
    <w:p w14:paraId="59AD9B10" w14:textId="77777777" w:rsidR="003E02D5" w:rsidRPr="003E02D5" w:rsidRDefault="003E02D5" w:rsidP="003E02D5">
      <w:pPr>
        <w:numPr>
          <w:ilvl w:val="0"/>
          <w:numId w:val="3"/>
        </w:numPr>
      </w:pPr>
      <w:r w:rsidRPr="003E02D5">
        <w:t>Il empêche un transfert convenable de la connaissance vers les opérations.</w:t>
      </w:r>
    </w:p>
    <w:p w14:paraId="74228E6D" w14:textId="77777777" w:rsidR="003E02D5" w:rsidRPr="003E02D5" w:rsidRDefault="003E02D5" w:rsidP="003E02D5">
      <w:pPr>
        <w:numPr>
          <w:ilvl w:val="0"/>
          <w:numId w:val="3"/>
        </w:numPr>
      </w:pPr>
      <w:r w:rsidRPr="003E02D5">
        <w:t>Il prive le projet de compétences précieuses pour améliorer la qualité dès la conception.</w:t>
      </w:r>
    </w:p>
    <w:p w14:paraId="6CBECEBA" w14:textId="77777777" w:rsidR="003E02D5" w:rsidRPr="003E02D5" w:rsidRDefault="003E02D5" w:rsidP="003E02D5">
      <w:pPr>
        <w:numPr>
          <w:ilvl w:val="0"/>
          <w:numId w:val="3"/>
        </w:numPr>
      </w:pPr>
      <w:r w:rsidRPr="003E02D5">
        <w:t>Il provoque des boucles de rétroactions tardives qui perturbent les roadmaps projets et allongent les délais.</w:t>
      </w:r>
    </w:p>
    <w:p w14:paraId="5C96F605" w14:textId="77777777" w:rsidR="003E02D5" w:rsidRDefault="003E02D5"/>
    <w:sectPr w:rsidR="003E02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42B61"/>
    <w:multiLevelType w:val="multilevel"/>
    <w:tmpl w:val="BE1A6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DD83DCF"/>
    <w:multiLevelType w:val="multilevel"/>
    <w:tmpl w:val="CE70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5255107"/>
    <w:multiLevelType w:val="multilevel"/>
    <w:tmpl w:val="A29C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721683">
    <w:abstractNumId w:val="1"/>
  </w:num>
  <w:num w:numId="2" w16cid:durableId="1855335967">
    <w:abstractNumId w:val="0"/>
  </w:num>
  <w:num w:numId="3" w16cid:durableId="892546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2D5"/>
    <w:rsid w:val="003027C9"/>
    <w:rsid w:val="003E02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FC708"/>
  <w15:chartTrackingRefBased/>
  <w15:docId w15:val="{64560188-7CA2-41BE-ACE8-4FF688A53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E02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E02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E02D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E02D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E02D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E02D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E02D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E02D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E02D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E02D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E02D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E02D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E02D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E02D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E02D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E02D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E02D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E02D5"/>
    <w:rPr>
      <w:rFonts w:eastAsiaTheme="majorEastAsia" w:cstheme="majorBidi"/>
      <w:color w:val="272727" w:themeColor="text1" w:themeTint="D8"/>
    </w:rPr>
  </w:style>
  <w:style w:type="paragraph" w:styleId="Titre">
    <w:name w:val="Title"/>
    <w:basedOn w:val="Normal"/>
    <w:next w:val="Normal"/>
    <w:link w:val="TitreCar"/>
    <w:uiPriority w:val="10"/>
    <w:qFormat/>
    <w:rsid w:val="003E02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E02D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E02D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E02D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E02D5"/>
    <w:pPr>
      <w:spacing w:before="160"/>
      <w:jc w:val="center"/>
    </w:pPr>
    <w:rPr>
      <w:i/>
      <w:iCs/>
      <w:color w:val="404040" w:themeColor="text1" w:themeTint="BF"/>
    </w:rPr>
  </w:style>
  <w:style w:type="character" w:customStyle="1" w:styleId="CitationCar">
    <w:name w:val="Citation Car"/>
    <w:basedOn w:val="Policepardfaut"/>
    <w:link w:val="Citation"/>
    <w:uiPriority w:val="29"/>
    <w:rsid w:val="003E02D5"/>
    <w:rPr>
      <w:i/>
      <w:iCs/>
      <w:color w:val="404040" w:themeColor="text1" w:themeTint="BF"/>
    </w:rPr>
  </w:style>
  <w:style w:type="paragraph" w:styleId="Paragraphedeliste">
    <w:name w:val="List Paragraph"/>
    <w:basedOn w:val="Normal"/>
    <w:uiPriority w:val="34"/>
    <w:qFormat/>
    <w:rsid w:val="003E02D5"/>
    <w:pPr>
      <w:ind w:left="720"/>
      <w:contextualSpacing/>
    </w:pPr>
  </w:style>
  <w:style w:type="character" w:styleId="Accentuationintense">
    <w:name w:val="Intense Emphasis"/>
    <w:basedOn w:val="Policepardfaut"/>
    <w:uiPriority w:val="21"/>
    <w:qFormat/>
    <w:rsid w:val="003E02D5"/>
    <w:rPr>
      <w:i/>
      <w:iCs/>
      <w:color w:val="0F4761" w:themeColor="accent1" w:themeShade="BF"/>
    </w:rPr>
  </w:style>
  <w:style w:type="paragraph" w:styleId="Citationintense">
    <w:name w:val="Intense Quote"/>
    <w:basedOn w:val="Normal"/>
    <w:next w:val="Normal"/>
    <w:link w:val="CitationintenseCar"/>
    <w:uiPriority w:val="30"/>
    <w:qFormat/>
    <w:rsid w:val="003E02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E02D5"/>
    <w:rPr>
      <w:i/>
      <w:iCs/>
      <w:color w:val="0F4761" w:themeColor="accent1" w:themeShade="BF"/>
    </w:rPr>
  </w:style>
  <w:style w:type="character" w:styleId="Rfrenceintense">
    <w:name w:val="Intense Reference"/>
    <w:basedOn w:val="Policepardfaut"/>
    <w:uiPriority w:val="32"/>
    <w:qFormat/>
    <w:rsid w:val="003E02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266943">
      <w:bodyDiv w:val="1"/>
      <w:marLeft w:val="0"/>
      <w:marRight w:val="0"/>
      <w:marTop w:val="0"/>
      <w:marBottom w:val="0"/>
      <w:divBdr>
        <w:top w:val="none" w:sz="0" w:space="0" w:color="auto"/>
        <w:left w:val="none" w:sz="0" w:space="0" w:color="auto"/>
        <w:bottom w:val="none" w:sz="0" w:space="0" w:color="auto"/>
        <w:right w:val="none" w:sz="0" w:space="0" w:color="auto"/>
      </w:divBdr>
      <w:divsChild>
        <w:div w:id="1517579081">
          <w:marLeft w:val="0"/>
          <w:marRight w:val="0"/>
          <w:marTop w:val="600"/>
          <w:marBottom w:val="0"/>
          <w:divBdr>
            <w:top w:val="none" w:sz="0" w:space="0" w:color="auto"/>
            <w:left w:val="none" w:sz="0" w:space="0" w:color="auto"/>
            <w:bottom w:val="none" w:sz="0" w:space="0" w:color="auto"/>
            <w:right w:val="none" w:sz="0" w:space="0" w:color="auto"/>
          </w:divBdr>
        </w:div>
        <w:div w:id="1547331751">
          <w:marLeft w:val="0"/>
          <w:marRight w:val="0"/>
          <w:marTop w:val="600"/>
          <w:marBottom w:val="0"/>
          <w:divBdr>
            <w:top w:val="none" w:sz="0" w:space="0" w:color="auto"/>
            <w:left w:val="none" w:sz="0" w:space="0" w:color="auto"/>
            <w:bottom w:val="none" w:sz="0" w:space="0" w:color="auto"/>
            <w:right w:val="none" w:sz="0" w:space="0" w:color="auto"/>
          </w:divBdr>
          <w:divsChild>
            <w:div w:id="1844081252">
              <w:marLeft w:val="150"/>
              <w:marRight w:val="0"/>
              <w:marTop w:val="0"/>
              <w:marBottom w:val="0"/>
              <w:divBdr>
                <w:top w:val="none" w:sz="0" w:space="0" w:color="auto"/>
                <w:left w:val="none" w:sz="0" w:space="0" w:color="auto"/>
                <w:bottom w:val="none" w:sz="0" w:space="0" w:color="auto"/>
                <w:right w:val="none" w:sz="0" w:space="0" w:color="auto"/>
              </w:divBdr>
            </w:div>
            <w:div w:id="275330978">
              <w:marLeft w:val="150"/>
              <w:marRight w:val="0"/>
              <w:marTop w:val="0"/>
              <w:marBottom w:val="0"/>
              <w:divBdr>
                <w:top w:val="none" w:sz="0" w:space="0" w:color="auto"/>
                <w:left w:val="none" w:sz="0" w:space="0" w:color="auto"/>
                <w:bottom w:val="none" w:sz="0" w:space="0" w:color="auto"/>
                <w:right w:val="none" w:sz="0" w:space="0" w:color="auto"/>
              </w:divBdr>
            </w:div>
            <w:div w:id="493835482">
              <w:marLeft w:val="0"/>
              <w:marRight w:val="0"/>
              <w:marTop w:val="0"/>
              <w:marBottom w:val="0"/>
              <w:divBdr>
                <w:top w:val="none" w:sz="0" w:space="0" w:color="auto"/>
                <w:left w:val="none" w:sz="0" w:space="0" w:color="auto"/>
                <w:bottom w:val="none" w:sz="0" w:space="0" w:color="auto"/>
                <w:right w:val="none" w:sz="0" w:space="0" w:color="auto"/>
              </w:divBdr>
              <w:divsChild>
                <w:div w:id="123597080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31205326">
          <w:marLeft w:val="0"/>
          <w:marRight w:val="0"/>
          <w:marTop w:val="600"/>
          <w:marBottom w:val="0"/>
          <w:divBdr>
            <w:top w:val="none" w:sz="0" w:space="0" w:color="auto"/>
            <w:left w:val="none" w:sz="0" w:space="0" w:color="auto"/>
            <w:bottom w:val="none" w:sz="0" w:space="0" w:color="auto"/>
            <w:right w:val="none" w:sz="0" w:space="0" w:color="auto"/>
          </w:divBdr>
          <w:divsChild>
            <w:div w:id="59358995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1237</Words>
  <Characters>6807</Characters>
  <Application>Microsoft Office Word</Application>
  <DocSecurity>0</DocSecurity>
  <Lines>56</Lines>
  <Paragraphs>16</Paragraphs>
  <ScaleCrop>false</ScaleCrop>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FAVOREL</dc:creator>
  <cp:keywords/>
  <dc:description/>
  <cp:lastModifiedBy>Jacques  FAVOREL</cp:lastModifiedBy>
  <cp:revision>1</cp:revision>
  <dcterms:created xsi:type="dcterms:W3CDTF">2025-04-22T10:30:00Z</dcterms:created>
  <dcterms:modified xsi:type="dcterms:W3CDTF">2025-04-22T10:30:00Z</dcterms:modified>
</cp:coreProperties>
</file>