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9E7B" w14:textId="77777777" w:rsidR="007976C5" w:rsidRPr="007976C5" w:rsidRDefault="007976C5" w:rsidP="007976C5">
      <w:r w:rsidRPr="007976C5">
        <w:t>Automatiser tout ce qui peut l’être</w:t>
      </w:r>
    </w:p>
    <w:p w14:paraId="42EF9592" w14:textId="77777777" w:rsidR="007976C5" w:rsidRPr="007976C5" w:rsidRDefault="007976C5" w:rsidP="007976C5">
      <w:r w:rsidRPr="007976C5">
        <w:t>L’automatisation intervient à tous les niveaux de la fabrication d’une application, quelle que soit l’industrie ou le marché auquel elle s’adresse. Alors que la qualité d’une fabrication manuelle est liée à la performance des personnes, une fabrication automatisée garantit un niveau de qualité globale constante. Il en va de même pour la capacité à réduire le temps de mise à disposition sur le marché, de la conception au déploiement.</w:t>
      </w:r>
    </w:p>
    <w:p w14:paraId="7C49E76A" w14:textId="77777777" w:rsidR="007976C5" w:rsidRPr="007976C5" w:rsidRDefault="007976C5" w:rsidP="007976C5">
      <w:r w:rsidRPr="007976C5">
        <w:t>Il ne faut pas confondre industrialisation et automatisation. L’industrialisation consiste à maximiser la productivité par activité, par la segmentation du processus de réalisation, créant ainsi des pôles d’expertise et donc des silos. Il n’est pas rare, et même plutôt courant, que l’automatisation renforce des logiques d’industrialisation en fiabilisant des processus silotés. Si ce n’est évidemment pas une mauvaise pratique dans le contexte de ces organisations, cela ne s’apparente pas à du DevOps car l’automatisation n’a alors pas pour objectifs d’effacer les frontières entre les équipes ni de les rapprocher dans une démarche agile. Si l’automatisation est un outil puissant et nécessaire du DevOps, elle n’est pour autant pas suffisante pour entrer dans cette démarche.</w:t>
      </w:r>
    </w:p>
    <w:p w14:paraId="3A3FC47F" w14:textId="77777777" w:rsidR="007976C5" w:rsidRPr="007976C5" w:rsidRDefault="007976C5" w:rsidP="007976C5">
      <w:r w:rsidRPr="007976C5">
        <w:t>L’automatisation dans le DevOps a pour objectif de fiabiliser et fluidifier l’ensemble du processus de manière globale, plutôt que de façon segmentée. Pour cela, elle s’appuie sur un outillage présent sur chaque activité de réalisation mais complètement orchestré dans des chaînes d’automatisation visant à générer un flux automatisé de production de valeur.</w:t>
      </w:r>
    </w:p>
    <w:p w14:paraId="3B6200B2" w14:textId="77777777" w:rsidR="007976C5" w:rsidRPr="007976C5" w:rsidRDefault="007976C5" w:rsidP="007976C5">
      <w:r w:rsidRPr="007976C5">
        <w:t>Un flux automatisé repose sur quelques principes clés :</w:t>
      </w:r>
    </w:p>
    <w:p w14:paraId="39C18E39" w14:textId="77777777" w:rsidR="007976C5" w:rsidRPr="007976C5" w:rsidRDefault="007976C5" w:rsidP="007976C5">
      <w:pPr>
        <w:numPr>
          <w:ilvl w:val="0"/>
          <w:numId w:val="1"/>
        </w:numPr>
      </w:pPr>
      <w:r w:rsidRPr="007976C5">
        <w:t>Un processus automatisé doit être répétable, c’est là qu’il trouve sa valeur car automatiser un processus est un investissement. Un processus automatisé qui ne sera exécuté qu’une seule fois n’a pas de sens particulier. S’il peut être exécuté tous les jours, la valeur produite se multiplie chaque jour.</w:t>
      </w:r>
    </w:p>
    <w:p w14:paraId="5179E737" w14:textId="77777777" w:rsidR="007976C5" w:rsidRPr="007976C5" w:rsidRDefault="007976C5" w:rsidP="007976C5">
      <w:pPr>
        <w:numPr>
          <w:ilvl w:val="0"/>
          <w:numId w:val="1"/>
        </w:numPr>
      </w:pPr>
      <w:r w:rsidRPr="007976C5">
        <w:t xml:space="preserve">Il doit être chaînable. Un processus qui ne peut être exécuté que de façon autonome, introduit une rupture dans le flux de construction automatisée. Le chaînage des processus dans un seul flux automatisé est également ce qui permet de rassembler les </w:t>
      </w:r>
      <w:proofErr w:type="spellStart"/>
      <w:r w:rsidRPr="007976C5">
        <w:t>feature</w:t>
      </w:r>
      <w:proofErr w:type="spellEnd"/>
      <w:r w:rsidRPr="007976C5">
        <w:t xml:space="preserve"> </w:t>
      </w:r>
      <w:proofErr w:type="gramStart"/>
      <w:r w:rsidRPr="007976C5">
        <w:t>teams</w:t>
      </w:r>
      <w:proofErr w:type="gramEnd"/>
      <w:r w:rsidRPr="007976C5">
        <w:t xml:space="preserve"> en tant qu’équipes pluridisciplinaires.</w:t>
      </w:r>
    </w:p>
    <w:p w14:paraId="4CA7FFE6" w14:textId="77777777" w:rsidR="007976C5" w:rsidRPr="007976C5" w:rsidRDefault="007976C5" w:rsidP="007976C5">
      <w:pPr>
        <w:numPr>
          <w:ilvl w:val="0"/>
          <w:numId w:val="1"/>
        </w:numPr>
      </w:pPr>
      <w:r w:rsidRPr="007976C5">
        <w:t>Il doit être configurable. Un processus automatisé doit pouvoir être configuré pour s’exécuter dans des contextes et des environnements différents.</w:t>
      </w:r>
    </w:p>
    <w:p w14:paraId="6410E901" w14:textId="77777777" w:rsidR="007976C5" w:rsidRPr="007976C5" w:rsidRDefault="007976C5" w:rsidP="007976C5">
      <w:r w:rsidRPr="007976C5">
        <w:t>Automatisation des développements</w:t>
      </w:r>
    </w:p>
    <w:p w14:paraId="77C7AC05" w14:textId="77777777" w:rsidR="007976C5" w:rsidRPr="007976C5" w:rsidRDefault="007976C5" w:rsidP="007976C5">
      <w:r w:rsidRPr="007976C5">
        <w:t xml:space="preserve">On a souvent tendance à l’oublier, mais la première activité concernée par l’automatisation est le développement. De nombreux </w:t>
      </w:r>
      <w:proofErr w:type="spellStart"/>
      <w:r w:rsidRPr="007976C5">
        <w:t>frameworks</w:t>
      </w:r>
      <w:proofErr w:type="spellEnd"/>
      <w:r w:rsidRPr="007976C5">
        <w:t xml:space="preserve"> automatisent des pans entiers de fonctionnalités, comme le paramétrage, la configuration, les </w:t>
      </w:r>
      <w:r w:rsidRPr="007976C5">
        <w:lastRenderedPageBreak/>
        <w:t xml:space="preserve">formulaires, l’accès aux données, etc. La couche d’accès aux données, ainsi que la structure des données, peuvent être générées à partir de la déclaration des entités de données, avec Hibernate par exemple. Les </w:t>
      </w:r>
      <w:proofErr w:type="spellStart"/>
      <w:r w:rsidRPr="007976C5">
        <w:t>frameworks</w:t>
      </w:r>
      <w:proofErr w:type="spellEnd"/>
      <w:r w:rsidRPr="007976C5">
        <w:t xml:space="preserve"> mobiles tels que Flutter, Xamarin, Ionic, produisent automatiquement du code à la fois pour plateforme Apple et Android. On trouve également des plateformes </w:t>
      </w:r>
      <w:proofErr w:type="spellStart"/>
      <w:r w:rsidRPr="007976C5">
        <w:t>low</w:t>
      </w:r>
      <w:proofErr w:type="spellEnd"/>
      <w:r w:rsidRPr="007976C5">
        <w:t xml:space="preserve"> code tel que </w:t>
      </w:r>
      <w:proofErr w:type="spellStart"/>
      <w:r w:rsidRPr="007976C5">
        <w:t>Mendix</w:t>
      </w:r>
      <w:proofErr w:type="spellEnd"/>
      <w:r w:rsidRPr="007976C5">
        <w:t xml:space="preserve"> ou Microsoft Power Apps qui permettent de fabriquer des applications par assemblage et </w:t>
      </w:r>
      <w:proofErr w:type="spellStart"/>
      <w:r w:rsidRPr="007976C5">
        <w:t>templates</w:t>
      </w:r>
      <w:proofErr w:type="spellEnd"/>
      <w:r w:rsidRPr="007976C5">
        <w:t xml:space="preserve"> graphiques. Au global, le code généré représente aujourd’hui plus que le code réalisé par des humains.</w:t>
      </w:r>
    </w:p>
    <w:p w14:paraId="421F21CB" w14:textId="77777777" w:rsidR="007976C5" w:rsidRPr="007976C5" w:rsidRDefault="007976C5" w:rsidP="007976C5">
      <w:r w:rsidRPr="007976C5">
        <w:t xml:space="preserve">Le </w:t>
      </w:r>
      <w:proofErr w:type="gramStart"/>
      <w:r w:rsidRPr="007976C5">
        <w:t>challenge</w:t>
      </w:r>
      <w:proofErr w:type="gramEnd"/>
      <w:r w:rsidRPr="007976C5">
        <w:t xml:space="preserve"> dans l’automatisation de la génération de code est de pouvoir le répéter à l’infini, ou de le générer de façon incrémentale à la demande. Il n’est pas facile d’intégrer la génération de code d’une application </w:t>
      </w:r>
      <w:proofErr w:type="spellStart"/>
      <w:r w:rsidRPr="007976C5">
        <w:t>low</w:t>
      </w:r>
      <w:proofErr w:type="spellEnd"/>
      <w:r w:rsidRPr="007976C5">
        <w:t xml:space="preserve"> code dans une chaîne automatisée de construction d’application, simplement parce que le code généré est souvent partiel, ou demande à être modifié pour répondre plus finement au besoin. Néanmoins, il faut considérer toutes les options où le code peut être généré à la demande sans dégrader le reste de l’application. Cela permet d’acquérir plus de souplesse dans l’adaptabilité du code et de le remettre en question plus facilement.</w:t>
      </w:r>
    </w:p>
    <w:p w14:paraId="3F604AD4" w14:textId="77777777" w:rsidR="007976C5" w:rsidRPr="007976C5" w:rsidRDefault="007976C5" w:rsidP="007976C5">
      <w:r w:rsidRPr="007976C5">
        <w:t>Automatisation des tests</w:t>
      </w:r>
    </w:p>
    <w:p w14:paraId="6C2377F0" w14:textId="77777777" w:rsidR="007976C5" w:rsidRPr="007976C5" w:rsidRDefault="007976C5" w:rsidP="007976C5">
      <w:r w:rsidRPr="007976C5">
        <w:t>Les tests sont automatisés depuis longtemps. L’automatisation des tests suit des logiques de méthodes complémentaires :</w:t>
      </w:r>
    </w:p>
    <w:p w14:paraId="27BD129F" w14:textId="77777777" w:rsidR="007976C5" w:rsidRPr="007976C5" w:rsidRDefault="007976C5" w:rsidP="007976C5">
      <w:r w:rsidRPr="007976C5">
        <w:t>Le </w:t>
      </w:r>
      <w:r w:rsidRPr="007976C5">
        <w:rPr>
          <w:i/>
          <w:iCs/>
        </w:rPr>
        <w:t xml:space="preserve">Test Driven </w:t>
      </w:r>
      <w:proofErr w:type="spellStart"/>
      <w:r w:rsidRPr="007976C5">
        <w:rPr>
          <w:i/>
          <w:iCs/>
        </w:rPr>
        <w:t>Development</w:t>
      </w:r>
      <w:proofErr w:type="spellEnd"/>
      <w:r w:rsidRPr="007976C5">
        <w:t> : l’objectif est de construire des classes de tests unitaires qui seront chargées de vérifier le résultat attendu par les classes de code implémentées correspondantes. Ces résultats sont formalisés sous forme d’assertions, c’est-à-dire de résultats attendus à l’appel d’une méthode de classe par exemple.</w:t>
      </w:r>
    </w:p>
    <w:p w14:paraId="1B802EE9" w14:textId="77777777" w:rsidR="007976C5" w:rsidRPr="007976C5" w:rsidRDefault="007976C5" w:rsidP="007976C5">
      <w:r w:rsidRPr="007976C5">
        <w:t>Le </w:t>
      </w:r>
      <w:proofErr w:type="spellStart"/>
      <w:r w:rsidRPr="007976C5">
        <w:rPr>
          <w:i/>
          <w:iCs/>
        </w:rPr>
        <w:t>Behaviour</w:t>
      </w:r>
      <w:proofErr w:type="spellEnd"/>
      <w:r w:rsidRPr="007976C5">
        <w:rPr>
          <w:i/>
          <w:iCs/>
        </w:rPr>
        <w:t xml:space="preserve"> Driven </w:t>
      </w:r>
      <w:proofErr w:type="spellStart"/>
      <w:r w:rsidRPr="007976C5">
        <w:rPr>
          <w:i/>
          <w:iCs/>
        </w:rPr>
        <w:t>Development</w:t>
      </w:r>
      <w:proofErr w:type="spellEnd"/>
      <w:r w:rsidRPr="007976C5">
        <w:t> : c’est une démarche de plus haut niveau, où une fonctionnalité entière est testée. Le résultat attendu est spécifié dans une description structurée du type : </w:t>
      </w:r>
      <w:proofErr w:type="spellStart"/>
      <w:r w:rsidRPr="007976C5">
        <w:rPr>
          <w:i/>
          <w:iCs/>
        </w:rPr>
        <w:t>given</w:t>
      </w:r>
      <w:proofErr w:type="spellEnd"/>
      <w:r w:rsidRPr="007976C5">
        <w:t> - </w:t>
      </w:r>
      <w:proofErr w:type="spellStart"/>
      <w:r w:rsidRPr="007976C5">
        <w:rPr>
          <w:i/>
          <w:iCs/>
        </w:rPr>
        <w:t>when</w:t>
      </w:r>
      <w:proofErr w:type="spellEnd"/>
      <w:r w:rsidRPr="007976C5">
        <w:t> - </w:t>
      </w:r>
      <w:proofErr w:type="spellStart"/>
      <w:r w:rsidRPr="007976C5">
        <w:rPr>
          <w:i/>
          <w:iCs/>
        </w:rPr>
        <w:t>then</w:t>
      </w:r>
      <w:proofErr w:type="spellEnd"/>
      <w:r w:rsidRPr="007976C5">
        <w:t xml:space="preserve"> (cette structure est aussi appelée langage de </w:t>
      </w:r>
      <w:proofErr w:type="spellStart"/>
      <w:r w:rsidRPr="007976C5">
        <w:t>Gherkin</w:t>
      </w:r>
      <w:proofErr w:type="spellEnd"/>
      <w:r w:rsidRPr="007976C5">
        <w:t xml:space="preserve"> et est utilisée dans l’outil de gestion des BDD </w:t>
      </w:r>
      <w:proofErr w:type="spellStart"/>
      <w:r w:rsidRPr="007976C5">
        <w:t>Cucumber</w:t>
      </w:r>
      <w:proofErr w:type="spellEnd"/>
      <w:r w:rsidRPr="007976C5">
        <w:t>). Plus simplement, étant donné un contexte, quand je réalise telle action, je m’attends à tel résultat. L’avantage du BDD est de réaliser une spécification dite exécutable et testable. Elle ne se limite pas à une classe de test mais plutôt à la description du résultat d’une fonctionnalité qui doit être implémentée.</w:t>
      </w:r>
    </w:p>
    <w:p w14:paraId="1F946F9F" w14:textId="77777777" w:rsidR="007976C5" w:rsidRPr="007976C5" w:rsidRDefault="007976C5" w:rsidP="007976C5">
      <w:r w:rsidRPr="007976C5">
        <w:t>Le détail de l’implémentation des BDD est fourni par le créateur de la méthode, Dan North, sur son blog : </w:t>
      </w:r>
      <w:hyperlink r:id="rId5" w:tgtFrame="_blank" w:history="1">
        <w:r w:rsidRPr="007976C5">
          <w:rPr>
            <w:rStyle w:val="Lienhypertexte"/>
          </w:rPr>
          <w:t>https://dannorth.net/introducing-bdd/</w:t>
        </w:r>
      </w:hyperlink>
    </w:p>
    <w:p w14:paraId="1C8AEB79" w14:textId="77777777" w:rsidR="007976C5" w:rsidRPr="007976C5" w:rsidRDefault="007976C5" w:rsidP="007976C5">
      <w:r w:rsidRPr="007976C5">
        <w:t>Les approches consistant à écrire d’abord le code qui devra être vérifié lors de l’implémentation favorisent l’utilisation de bouchons, ou de "</w:t>
      </w:r>
      <w:proofErr w:type="spellStart"/>
      <w:r w:rsidRPr="007976C5">
        <w:t>mocks</w:t>
      </w:r>
      <w:proofErr w:type="spellEnd"/>
      <w:r w:rsidRPr="007976C5">
        <w:t>", permettant de simuler les entrées ou les sorties en attendant leur développement définitif. </w:t>
      </w:r>
    </w:p>
    <w:p w14:paraId="18784A17" w14:textId="77777777" w:rsidR="007976C5" w:rsidRPr="007976C5" w:rsidRDefault="007976C5" w:rsidP="007976C5">
      <w:r w:rsidRPr="007976C5">
        <w:t>La base de données</w:t>
      </w:r>
    </w:p>
    <w:p w14:paraId="59BF129F" w14:textId="77777777" w:rsidR="007976C5" w:rsidRPr="007976C5" w:rsidRDefault="007976C5" w:rsidP="007976C5">
      <w:r w:rsidRPr="007976C5">
        <w:lastRenderedPageBreak/>
        <w:t xml:space="preserve">Les bases de données peuvent être entièrement créées par des </w:t>
      </w:r>
      <w:proofErr w:type="spellStart"/>
      <w:r w:rsidRPr="007976C5">
        <w:t>frameworks</w:t>
      </w:r>
      <w:proofErr w:type="spellEnd"/>
      <w:r w:rsidRPr="007976C5">
        <w:t xml:space="preserve"> de gestion de la persistance telles que Hibernate. La structure de données est décrite formellement, puis construite par le gestionnaire de persistance. Chaque changement est déclaré dans le modèle maintenu par l’outil. La base de données étant versionnée, il est donc possible de monter une base de données pour n’importe quelle version de l’application.</w:t>
      </w:r>
    </w:p>
    <w:p w14:paraId="123A356E" w14:textId="77777777" w:rsidR="007976C5" w:rsidRPr="007976C5" w:rsidRDefault="007976C5" w:rsidP="007976C5">
      <w:r w:rsidRPr="007976C5">
        <w:t xml:space="preserve">Comme abordé dans le chapitre Les principes du CI/CD, l’automatisation du passage d’une version de structure de données vers une autre peut être assurée à l’aide d’un outil comme </w:t>
      </w:r>
      <w:proofErr w:type="spellStart"/>
      <w:r w:rsidRPr="007976C5">
        <w:t>Liquibase</w:t>
      </w:r>
      <w:proofErr w:type="spellEnd"/>
      <w:r w:rsidRPr="007976C5">
        <w:t xml:space="preserve">. Certains </w:t>
      </w:r>
      <w:proofErr w:type="spellStart"/>
      <w:r w:rsidRPr="007976C5">
        <w:t>frameworks</w:t>
      </w:r>
      <w:proofErr w:type="spellEnd"/>
      <w:r w:rsidRPr="007976C5">
        <w:t xml:space="preserve"> tels Django </w:t>
      </w:r>
      <w:proofErr w:type="gramStart"/>
      <w:r w:rsidRPr="007976C5">
        <w:t>disposent</w:t>
      </w:r>
      <w:proofErr w:type="gramEnd"/>
      <w:r w:rsidRPr="007976C5">
        <w:t xml:space="preserve"> de leur propre système d’automatisation. Il est indispensable de disposer d’une stratégie d’automatisation des outils de persistance. À défaut, la gestion des données constitue systématiquement une rupture dans la chaîne d’automatisation.</w:t>
      </w:r>
    </w:p>
    <w:p w14:paraId="5E20845E" w14:textId="77777777" w:rsidR="007976C5" w:rsidRPr="007976C5" w:rsidRDefault="007976C5" w:rsidP="007976C5">
      <w:r w:rsidRPr="007976C5">
        <w:t>Les données elles-mêmes peuvent être évidemment générées automatiquement à partir d’une ou de plusieurs sources de données privées ou publiques. On peut par exemple imaginer instancier un service à partir de données publiques exposées par un service open data. Ou encore, il est possible de générer un service nourri immédiatement par les données provenant de plusieurs autres applications, en requêtant plusieurs services web exposant ces données, ou en automatisant l’exécution d’un job d’ETL (jouant le rôle de bus de données).</w:t>
      </w:r>
    </w:p>
    <w:p w14:paraId="2082E7F6" w14:textId="77777777" w:rsidR="007976C5" w:rsidRPr="007976C5" w:rsidRDefault="007976C5" w:rsidP="007976C5">
      <w:r w:rsidRPr="007976C5">
        <w:t>Dans tous les cas, ces scripts doivent être répétables à volonté. Ce qui inclut évidemment le fait de pouvoir nettoyer les données avant toute réinstallation. Cette partie de nettoyage n’est pas nécessairement triviale lorsqu’il s’agit de mettre à jour une application déjà en production. Ce processus doit être réfléchi et construit dès le début du développement d’une nouvelle fonctionnalité. Les possibilités techniques sont nombreuses, mais dans tous les cas il est préférable de reconstruire le jeu de données, ainsi que la structure, à partir de rien, que de remonter une sauvegarde provenant d’un point de restauration quelconque. Simplement parce qu’en cas de problème, celui-ci peut provenir du point de restauration lui-même. D’une part, le problème devient difficile à identifier et, d’autre part, il faut redévelopper les scripts de construction de la base de données et de son peuplement.</w:t>
      </w:r>
    </w:p>
    <w:p w14:paraId="59098BBA" w14:textId="77777777" w:rsidR="007976C5" w:rsidRPr="007976C5" w:rsidRDefault="007976C5" w:rsidP="007976C5">
      <w:r w:rsidRPr="007976C5">
        <w:t>L’Intégration</w:t>
      </w:r>
    </w:p>
    <w:p w14:paraId="5E4243B9" w14:textId="77777777" w:rsidR="007976C5" w:rsidRPr="007976C5" w:rsidRDefault="007976C5" w:rsidP="007976C5">
      <w:r w:rsidRPr="007976C5">
        <w:t>Comme décrit dans les chapitres précédents, l’intégration est la capacité de vérifier que les différents composants, ou morceaux de l’application, fonctionnent ensemble, quels que soient les développeurs engagés. Il s’agit donc de lier toutes les activités qui vont permettre à la fois de générer les branches de code, et d’exécuter les tests automatisés et les scripts chargés de construire les packages de code.</w:t>
      </w:r>
    </w:p>
    <w:p w14:paraId="2F2CF24A" w14:textId="77777777" w:rsidR="007976C5" w:rsidRPr="007976C5" w:rsidRDefault="007976C5" w:rsidP="007976C5">
      <w:r w:rsidRPr="007976C5">
        <w:t>Le déploiement et l’infrastructure</w:t>
      </w:r>
    </w:p>
    <w:p w14:paraId="6A57D1CE" w14:textId="77777777" w:rsidR="007976C5" w:rsidRPr="007976C5" w:rsidRDefault="007976C5" w:rsidP="007976C5">
      <w:r w:rsidRPr="007976C5">
        <w:lastRenderedPageBreak/>
        <w:t>Le déploiement suit la logique de l’intégration en construisant une chaîne qui génère, ou instancie, les ressources système nécessaires à l’exécution de l’application, et qui assure également l’installation puis la configuration de l’environnement de l’application.</w:t>
      </w:r>
    </w:p>
    <w:p w14:paraId="4618AC45" w14:textId="77777777" w:rsidR="007976C5" w:rsidRPr="007976C5" w:rsidRDefault="007976C5" w:rsidP="007976C5">
      <w:r w:rsidRPr="007976C5">
        <w:t xml:space="preserve">L’infrastructure montée automatiquement peut être composée de conteneurs orchestrés sur des plateformes </w:t>
      </w:r>
      <w:proofErr w:type="spellStart"/>
      <w:r w:rsidRPr="007976C5">
        <w:t>Kubernetes</w:t>
      </w:r>
      <w:proofErr w:type="spellEnd"/>
      <w:r w:rsidRPr="007976C5">
        <w:t xml:space="preserve"> hébergées sur des serveurs Linux, ou de machines virtuelles configurées sur mesure ou pré-configurées, dans des datacenters privés ou bien évidemment dans un cloud public ou privé.</w:t>
      </w:r>
    </w:p>
    <w:p w14:paraId="3B95A424" w14:textId="77777777" w:rsidR="007976C5" w:rsidRPr="007976C5" w:rsidRDefault="007976C5" w:rsidP="007976C5">
      <w:r w:rsidRPr="007976C5">
        <w:t>Le feedback</w:t>
      </w:r>
    </w:p>
    <w:p w14:paraId="76C6C115" w14:textId="77777777" w:rsidR="007976C5" w:rsidRPr="007976C5" w:rsidRDefault="007976C5" w:rsidP="007976C5">
      <w:r w:rsidRPr="007976C5">
        <w:t xml:space="preserve">Il peut être automatisé de différentes manières. En premier lieu se trouvent tous les outils intégrés à l’IHM qui permettent de suivre et de tracer le comportement utilisateur. Les données ainsi recueillies, associées à celles qui permettent de définir le profil de l’utilisateur, permettent d’établir des modèles de comportements associés à l’usage des fonctionnalités proposées. En couplant ces données avec une approche d’A/B </w:t>
      </w:r>
      <w:proofErr w:type="spellStart"/>
      <w:r w:rsidRPr="007976C5">
        <w:t>testing</w:t>
      </w:r>
      <w:proofErr w:type="spellEnd"/>
      <w:r w:rsidRPr="007976C5">
        <w:t xml:space="preserve">, il est possible d’étudier le comportement des utilisateurs face à deux implémentations différentes ou deux fonctionnalités différentes. Il est complètement possible d’automatiser le retour de données vers les </w:t>
      </w:r>
      <w:proofErr w:type="spellStart"/>
      <w:r w:rsidRPr="007976C5">
        <w:t>product</w:t>
      </w:r>
      <w:proofErr w:type="spellEnd"/>
      <w:r w:rsidRPr="007976C5">
        <w:t xml:space="preserve"> </w:t>
      </w:r>
      <w:proofErr w:type="spellStart"/>
      <w:r w:rsidRPr="007976C5">
        <w:t>owners</w:t>
      </w:r>
      <w:proofErr w:type="spellEnd"/>
      <w:r w:rsidRPr="007976C5">
        <w:t xml:space="preserve"> afin de pouvoir réagir au plus vite si elles valident ou invalident un choix de design fonctionnel.</w:t>
      </w:r>
    </w:p>
    <w:p w14:paraId="41EA31D3" w14:textId="77777777" w:rsidR="007976C5" w:rsidRPr="007976C5" w:rsidRDefault="007976C5" w:rsidP="007976C5">
      <w:r w:rsidRPr="007976C5">
        <w:t>Il est également possible d’installer des outils de recueil du feedback directement en tant qu’éléments intégrés à l’application et permettant de demander à l’utilisateur ce qu’il pense de l’application, ou ce qu’il souhaiterait comme nouvelle fonctionnalité. Il paraît difficile de pouvoir en tirer des actions sans une analyse approfondie. Mais cela apporte à tout le moins une tendance sur l’adéquation entre les choix réalisés et les attentes utilisateurs.</w:t>
      </w:r>
    </w:p>
    <w:p w14:paraId="50863468" w14:textId="77777777" w:rsidR="007976C5" w:rsidRPr="007976C5" w:rsidRDefault="007976C5" w:rsidP="007976C5">
      <w:r w:rsidRPr="007976C5">
        <w:t>Enfin, il est possible d’exploiter les statistiques techniques liées à l’usage de l’application, comme le nombre de connexions, la durée passée par écran, les écrans les plus sollicités, ou tout simplement ceux qui ne sont jamais ouverts. Toutes ces données peuvent remonter automatiquement et constituer des éléments pour opérer des changements à prendre en compte dans le prochain sprint de développement.</w:t>
      </w:r>
    </w:p>
    <w:p w14:paraId="479561EE" w14:textId="77777777" w:rsidR="007976C5" w:rsidRPr="007976C5" w:rsidRDefault="007976C5" w:rsidP="007976C5">
      <w:r w:rsidRPr="007976C5">
        <w:t>Monitoring, gestion des alertes</w:t>
      </w:r>
    </w:p>
    <w:p w14:paraId="48DAD3BB" w14:textId="77777777" w:rsidR="007976C5" w:rsidRPr="007976C5" w:rsidRDefault="007976C5" w:rsidP="007976C5">
      <w:r w:rsidRPr="007976C5">
        <w:t xml:space="preserve">Dans une approche de déploiement continu, les fonctions de monitoring et d’alerte sont critiques pour l’exploitation de l’application. C’est ce que l’on appelle l’observabilité. En cas de problème, l’information doit être remontée le plus vite possible afin de pouvoir revenir en arrière, ou pour appliquer une modification traitant le problème. Cependant, cela n’est réalisable que si l’application, et le système dans son ensemble, est capable de renvoyer une information utile, précise, et permettant de rapidement identifier le problème. Il faut donc mettre en place des outils de monitoring capables d’identifier tout problème, mais aussi d’offrir un moyen de pouvoir informer rapidement la </w:t>
      </w:r>
      <w:proofErr w:type="spellStart"/>
      <w:r w:rsidRPr="007976C5">
        <w:t>feature</w:t>
      </w:r>
      <w:proofErr w:type="spellEnd"/>
      <w:r w:rsidRPr="007976C5">
        <w:t xml:space="preserve"> </w:t>
      </w:r>
      <w:proofErr w:type="gramStart"/>
      <w:r w:rsidRPr="007976C5">
        <w:t>team</w:t>
      </w:r>
      <w:proofErr w:type="gramEnd"/>
      <w:r w:rsidRPr="007976C5">
        <w:t xml:space="preserve"> en charge de l’exploitation de l’application et de générer des éléments de suivi du </w:t>
      </w:r>
      <w:r w:rsidRPr="007976C5">
        <w:lastRenderedPageBreak/>
        <w:t xml:space="preserve">problème. Les outils qui permettent cela sont aujourd’hui nombreux, mais parmi ceux qui ont le vent en poupe on trouve Splunk, New </w:t>
      </w:r>
      <w:proofErr w:type="spellStart"/>
      <w:r w:rsidRPr="007976C5">
        <w:t>relic</w:t>
      </w:r>
      <w:proofErr w:type="spellEnd"/>
      <w:r w:rsidRPr="007976C5">
        <w:t xml:space="preserve">, </w:t>
      </w:r>
      <w:proofErr w:type="spellStart"/>
      <w:r w:rsidRPr="007976C5">
        <w:t>Dynatrace</w:t>
      </w:r>
      <w:proofErr w:type="spellEnd"/>
      <w:r w:rsidRPr="007976C5">
        <w:t>.</w:t>
      </w:r>
    </w:p>
    <w:p w14:paraId="0DF998D5" w14:textId="77777777" w:rsidR="007976C5" w:rsidRPr="007976C5" w:rsidRDefault="007976C5" w:rsidP="007976C5">
      <w:r w:rsidRPr="007976C5">
        <w:t>Là encore, l’objectif est de pouvoir mettre en place l’ensemble des sondes de mesures dès le développement et de façon automatisée.</w:t>
      </w:r>
    </w:p>
    <w:p w14:paraId="47C1AA7E" w14:textId="77777777" w:rsidR="007976C5" w:rsidRDefault="007976C5"/>
    <w:sectPr w:rsidR="00797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03DF6"/>
    <w:multiLevelType w:val="multilevel"/>
    <w:tmpl w:val="8616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76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C5"/>
    <w:rsid w:val="003027C9"/>
    <w:rsid w:val="00797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315E"/>
  <w15:chartTrackingRefBased/>
  <w15:docId w15:val="{D66E60EF-6B1D-40E3-B363-787E12D3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7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7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76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76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76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76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76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76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76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6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76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76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76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76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76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76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76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76C5"/>
    <w:rPr>
      <w:rFonts w:eastAsiaTheme="majorEastAsia" w:cstheme="majorBidi"/>
      <w:color w:val="272727" w:themeColor="text1" w:themeTint="D8"/>
    </w:rPr>
  </w:style>
  <w:style w:type="paragraph" w:styleId="Titre">
    <w:name w:val="Title"/>
    <w:basedOn w:val="Normal"/>
    <w:next w:val="Normal"/>
    <w:link w:val="TitreCar"/>
    <w:uiPriority w:val="10"/>
    <w:qFormat/>
    <w:rsid w:val="00797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76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76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76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76C5"/>
    <w:pPr>
      <w:spacing w:before="160"/>
      <w:jc w:val="center"/>
    </w:pPr>
    <w:rPr>
      <w:i/>
      <w:iCs/>
      <w:color w:val="404040" w:themeColor="text1" w:themeTint="BF"/>
    </w:rPr>
  </w:style>
  <w:style w:type="character" w:customStyle="1" w:styleId="CitationCar">
    <w:name w:val="Citation Car"/>
    <w:basedOn w:val="Policepardfaut"/>
    <w:link w:val="Citation"/>
    <w:uiPriority w:val="29"/>
    <w:rsid w:val="007976C5"/>
    <w:rPr>
      <w:i/>
      <w:iCs/>
      <w:color w:val="404040" w:themeColor="text1" w:themeTint="BF"/>
    </w:rPr>
  </w:style>
  <w:style w:type="paragraph" w:styleId="Paragraphedeliste">
    <w:name w:val="List Paragraph"/>
    <w:basedOn w:val="Normal"/>
    <w:uiPriority w:val="34"/>
    <w:qFormat/>
    <w:rsid w:val="007976C5"/>
    <w:pPr>
      <w:ind w:left="720"/>
      <w:contextualSpacing/>
    </w:pPr>
  </w:style>
  <w:style w:type="character" w:styleId="Accentuationintense">
    <w:name w:val="Intense Emphasis"/>
    <w:basedOn w:val="Policepardfaut"/>
    <w:uiPriority w:val="21"/>
    <w:qFormat/>
    <w:rsid w:val="007976C5"/>
    <w:rPr>
      <w:i/>
      <w:iCs/>
      <w:color w:val="0F4761" w:themeColor="accent1" w:themeShade="BF"/>
    </w:rPr>
  </w:style>
  <w:style w:type="paragraph" w:styleId="Citationintense">
    <w:name w:val="Intense Quote"/>
    <w:basedOn w:val="Normal"/>
    <w:next w:val="Normal"/>
    <w:link w:val="CitationintenseCar"/>
    <w:uiPriority w:val="30"/>
    <w:qFormat/>
    <w:rsid w:val="00797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76C5"/>
    <w:rPr>
      <w:i/>
      <w:iCs/>
      <w:color w:val="0F4761" w:themeColor="accent1" w:themeShade="BF"/>
    </w:rPr>
  </w:style>
  <w:style w:type="character" w:styleId="Rfrenceintense">
    <w:name w:val="Intense Reference"/>
    <w:basedOn w:val="Policepardfaut"/>
    <w:uiPriority w:val="32"/>
    <w:qFormat/>
    <w:rsid w:val="007976C5"/>
    <w:rPr>
      <w:b/>
      <w:bCs/>
      <w:smallCaps/>
      <w:color w:val="0F4761" w:themeColor="accent1" w:themeShade="BF"/>
      <w:spacing w:val="5"/>
    </w:rPr>
  </w:style>
  <w:style w:type="character" w:styleId="Lienhypertexte">
    <w:name w:val="Hyperlink"/>
    <w:basedOn w:val="Policepardfaut"/>
    <w:uiPriority w:val="99"/>
    <w:unhideWhenUsed/>
    <w:rsid w:val="007976C5"/>
    <w:rPr>
      <w:color w:val="467886" w:themeColor="hyperlink"/>
      <w:u w:val="single"/>
    </w:rPr>
  </w:style>
  <w:style w:type="character" w:styleId="Mentionnonrsolue">
    <w:name w:val="Unresolved Mention"/>
    <w:basedOn w:val="Policepardfaut"/>
    <w:uiPriority w:val="99"/>
    <w:semiHidden/>
    <w:unhideWhenUsed/>
    <w:rsid w:val="0079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084773">
      <w:bodyDiv w:val="1"/>
      <w:marLeft w:val="0"/>
      <w:marRight w:val="0"/>
      <w:marTop w:val="0"/>
      <w:marBottom w:val="0"/>
      <w:divBdr>
        <w:top w:val="none" w:sz="0" w:space="0" w:color="auto"/>
        <w:left w:val="none" w:sz="0" w:space="0" w:color="auto"/>
        <w:bottom w:val="none" w:sz="0" w:space="0" w:color="auto"/>
        <w:right w:val="none" w:sz="0" w:space="0" w:color="auto"/>
      </w:divBdr>
      <w:divsChild>
        <w:div w:id="108838203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nnorth.net/introducing-bd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1791</Words>
  <Characters>9856</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2025-04-22T10:53:00Z</dcterms:created>
  <dcterms:modified xsi:type="dcterms:W3CDTF">2025-04-22T10:53:00Z</dcterms:modified>
</cp:coreProperties>
</file>